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72.jpeg" ContentType="image/jpeg"/>
  <Override PartName="/word/media/image67.jpeg" ContentType="image/jpeg"/>
  <Override PartName="/word/media/image71.jpeg" ContentType="image/jpeg"/>
  <Override PartName="/word/media/image44.jpeg" ContentType="image/jpeg"/>
  <Override PartName="/word/media/image66.jpeg" ContentType="image/jpeg"/>
  <Override PartName="/word/media/image9.jpeg" ContentType="image/jpeg"/>
  <Override PartName="/word/media/image70.jpeg" ContentType="image/jpeg"/>
  <Override PartName="/word/media/image43.jpeg" ContentType="image/jpeg"/>
  <Override PartName="/word/media/image65.jpeg" ContentType="image/jpeg"/>
  <Override PartName="/word/media/image8.jpeg" ContentType="image/jpeg"/>
  <Override PartName="/word/media/image39.jpeg" ContentType="image/jpeg"/>
  <Override PartName="/word/media/image69.jpeg" ContentType="image/jpeg"/>
  <Override PartName="/word/media/image68.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49638ddef14a.htm"/>
        <w:bookmarkStart w:id="1" w:name="ksd849638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36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(Rule </w:t>
      </w:r>
    </w:p>
    <w:p>
      <w:pPr>
        <w:pStyle w:val="TextBody"/>
        <w:bidi w:val="0"/>
        <w:spacing w:before="0" w:after="0"/>
        <w:jc w:val="center"/>
        <w:rPr>
          <w:rFonts w:ascii="Times New Roman" w:hAnsi="Times New Roman"/>
          <w:b/>
          <w:spacing w:val="0"/>
          <w:sz w:val="24"/>
        </w:rPr>
      </w:pPr>
      <w:r>
        <w:rPr>
          <w:rFonts w:ascii="Times New Roman" w:hAnsi="Times New Roman"/>
          <w:b/>
          <w:spacing w:val="0"/>
          <w:sz w:val="24"/>
        </w:rPr>
        <w:t>14a-101)</w:t>
      </w:r>
    </w:p>
    <w:p>
      <w:pPr>
        <w:pStyle w:val="TextBody"/>
        <w:bidi w:val="0"/>
        <w:spacing w:before="360" w:after="0"/>
        <w:jc w:val="center"/>
        <w:rPr>
          <w:rFonts w:ascii="Times New Roman" w:hAnsi="Times New Roman"/>
          <w:b/>
          <w:sz w:val="24"/>
        </w:rPr>
      </w:pPr>
      <w:r>
        <w:rPr>
          <w:rFonts w:ascii="Times New Roman" w:hAnsi="Times New Roman"/>
          <w:b/>
          <w:sz w:val="24"/>
        </w:rPr>
        <w:t xml:space="preserve">INFORMATION REQUIRED IN PROXY STATEMENT </w:t>
      </w:r>
    </w:p>
    <w:p>
      <w:pPr>
        <w:pStyle w:val="TextBody"/>
        <w:bidi w:val="0"/>
        <w:spacing w:before="0" w:after="0"/>
        <w:jc w:val="center"/>
        <w:rPr>
          <w:rFonts w:ascii="Times New Roman" w:hAnsi="Times New Roman"/>
          <w:b/>
          <w:sz w:val="24"/>
        </w:rPr>
      </w:pPr>
      <w:r>
        <w:rPr>
          <w:rFonts w:ascii="Times New Roman" w:hAnsi="Times New Roman"/>
          <w:b/>
          <w:sz w:val="24"/>
        </w:rPr>
        <w:t xml:space="preserve">SCHEDULE 14A INFORMATION </w:t>
      </w:r>
    </w:p>
    <w:p>
      <w:pPr>
        <w:pStyle w:val="TextBody"/>
        <w:bidi w:val="0"/>
        <w:spacing w:before="36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48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9173" w:type="dxa"/>
        <w:jc w:val="left"/>
        <w:tblInd w:w="0" w:type="dxa"/>
        <w:tblLayout w:type="fixed"/>
        <w:tblCellMar>
          <w:top w:w="0" w:type="dxa"/>
          <w:left w:w="0" w:type="dxa"/>
          <w:bottom w:w="0" w:type="dxa"/>
          <w:right w:w="0" w:type="dxa"/>
        </w:tblCellMar>
      </w:tblPr>
      <w:tblGrid>
        <w:gridCol w:w="245"/>
        <w:gridCol w:w="120"/>
        <w:gridCol w:w="2407"/>
        <w:gridCol w:w="2407"/>
        <w:gridCol w:w="3994"/>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3994"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8808" w:type="dxa"/>
            <w:gridSpan w:val="3"/>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8808" w:type="dxa"/>
            <w:gridSpan w:val="3"/>
            <w:tcBorders/>
            <w:vAlign w:val="center"/>
          </w:tcPr>
          <w:p>
            <w:pPr>
              <w:pStyle w:val="TableContents"/>
              <w:bidi w:val="0"/>
              <w:spacing w:before="0" w:after="0"/>
              <w:jc w:val="left"/>
              <w:rPr>
                <w:b/>
                <w:spacing w:val="0"/>
              </w:rPr>
            </w:pPr>
            <w:r>
              <w:rPr>
                <w:b/>
                <w:spacing w:val="0"/>
              </w:rPr>
              <w:t xml:space="preserve">Confidential, for Use of the Commission Only (as permitted by Rule </w:t>
            </w:r>
          </w:p>
          <w:p>
            <w:pPr>
              <w:pStyle w:val="TableContents"/>
              <w:bidi w:val="0"/>
              <w:spacing w:before="0" w:after="0"/>
              <w:jc w:val="left"/>
              <w:rPr>
                <w:b/>
                <w:spacing w:val="0"/>
              </w:rPr>
            </w:pPr>
            <w:r>
              <w:rPr>
                <w:b/>
                <w:spacing w:val="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8808" w:type="dxa"/>
            <w:gridSpan w:val="3"/>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8808" w:type="dxa"/>
            <w:gridSpan w:val="3"/>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8808" w:type="dxa"/>
            <w:gridSpan w:val="3"/>
            <w:tcBorders/>
            <w:vAlign w:val="center"/>
          </w:tcPr>
          <w:p>
            <w:pPr>
              <w:pStyle w:val="TableContents"/>
              <w:bidi w:val="0"/>
              <w:spacing w:before="0" w:after="0"/>
              <w:jc w:val="left"/>
              <w:rPr/>
            </w:pPr>
            <w:r>
              <w:rPr/>
              <w:t xml:space="preserve">Soliciting Material Pursuant to </w:t>
            </w:r>
          </w:p>
          <w:p>
            <w:pPr>
              <w:pStyle w:val="TableContents"/>
              <w:bidi w:val="0"/>
              <w:spacing w:before="0" w:after="0"/>
              <w:jc w:val="left"/>
              <w:rPr>
                <w:spacing w:val="0"/>
              </w:rPr>
            </w:pPr>
            <w:r>
              <w:rPr>
                <w:spacing w:val="0"/>
              </w:rPr>
              <w:t>§240.14a-12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08" w:type="dxa"/>
            <w:gridSpan w:val="3"/>
            <w:tcBorders/>
            <w:vAlign w:val="center"/>
          </w:tcPr>
          <w:p>
            <w:pPr>
              <w:pStyle w:val="TableContents"/>
              <w:bidi w:val="0"/>
              <w:spacing w:before="0" w:after="0"/>
              <w:jc w:val="center"/>
              <w:rPr>
                <w:b/>
                <w:spacing w:val="0"/>
              </w:rPr>
            </w:pPr>
            <w:r>
              <w:rPr>
                <w:b/>
                <w:spacing w:val="0"/>
              </w:rPr>
              <w:t>Installed Building Products, Inc.</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08" w:type="dxa"/>
            <w:gridSpan w:val="3"/>
            <w:tcBorders/>
            <w:vAlign w:val="center"/>
          </w:tcPr>
          <w:p>
            <w:pPr>
              <w:pStyle w:val="TableContents"/>
              <w:bidi w:val="0"/>
              <w:spacing w:before="0" w:after="20"/>
              <w:jc w:val="center"/>
              <w:rPr>
                <w:rFonts w:ascii="ARIAL" w:hAnsi="ARIAL"/>
                <w:b/>
                <w:sz w:val="20"/>
              </w:rPr>
            </w:pPr>
            <w:r>
              <w:rPr>
                <w:rFonts w:ascii="ARIAL" w:hAnsi="ARIAL"/>
                <w:b/>
                <w:sz w:val="20"/>
              </w:rPr>
              <w:t>(Name of Registrant as Specified In Its Charter)</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08" w:type="dxa"/>
            <w:gridSpan w:val="3"/>
            <w:tcBorders/>
            <w:vAlign w:val="center"/>
          </w:tcPr>
          <w:p>
            <w:pPr>
              <w:pStyle w:val="TableContents"/>
              <w:bidi w:val="0"/>
              <w:spacing w:before="0" w:after="20"/>
              <w:jc w:val="center"/>
              <w:rPr/>
            </w:pPr>
            <w:r>
              <w:rPr/>
              <w:t>  </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08" w:type="dxa"/>
            <w:gridSpan w:val="3"/>
            <w:tcBorders/>
            <w:vAlign w:val="center"/>
          </w:tcPr>
          <w:p>
            <w:pPr>
              <w:pStyle w:val="TableContents"/>
              <w:bidi w:val="0"/>
              <w:spacing w:before="0" w:after="20"/>
              <w:jc w:val="center"/>
              <w:rPr>
                <w:rFonts w:ascii="arial" w:hAnsi="arial"/>
                <w:b/>
                <w:sz w:val="16"/>
              </w:rPr>
            </w:pPr>
            <w:r>
              <w:rPr>
                <w:rFonts w:ascii="arial" w:hAnsi="arial"/>
                <w:b/>
                <w:sz w:val="16"/>
              </w:rPr>
              <w:t>(Name of Person(s) Filing Proxy Statement, if other than the Registrant)</w:t>
            </w:r>
          </w:p>
        </w:tc>
      </w:tr>
      <w:tr>
        <w:trPr/>
        <w:tc>
          <w:tcPr>
            <w:tcW w:w="9173" w:type="dxa"/>
            <w:gridSpan w:val="5"/>
            <w:tcBorders/>
            <w:vAlign w:val="center"/>
          </w:tcPr>
          <w:p>
            <w:pPr>
              <w:pStyle w:val="TableContents"/>
              <w:bidi w:val="0"/>
              <w:spacing w:before="0" w:after="283"/>
              <w:jc w:val="left"/>
              <w:rPr>
                <w:sz w:val="4"/>
                <w:szCs w:val="4"/>
              </w:rPr>
            </w:pPr>
            <w:r>
              <w:rPr>
                <w:sz w:val="4"/>
                <w:szCs w:val="4"/>
              </w:rPr>
            </w:r>
          </w:p>
        </w:tc>
      </w:tr>
      <w:tr>
        <w:trPr/>
        <w:tc>
          <w:tcPr>
            <w:tcW w:w="9173" w:type="dxa"/>
            <w:gridSpan w:val="5"/>
            <w:tcBorders/>
            <w:vAlign w:val="center"/>
          </w:tcPr>
          <w:p>
            <w:pPr>
              <w:pStyle w:val="TableContents"/>
              <w:bidi w:val="0"/>
              <w:spacing w:before="0" w:after="283"/>
              <w:jc w:val="left"/>
              <w:rPr/>
            </w:pPr>
            <w:r>
              <w:rPr/>
              <w:t>Payment of Filing Fee (Check all boxes that apply):</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8808" w:type="dxa"/>
            <w:gridSpan w:val="3"/>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8808" w:type="dxa"/>
            <w:gridSpan w:val="3"/>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8808" w:type="dxa"/>
            <w:gridSpan w:val="3"/>
            <w:tcBorders/>
            <w:vAlign w:val="center"/>
          </w:tcPr>
          <w:p>
            <w:pPr>
              <w:pStyle w:val="TableContents"/>
              <w:bidi w:val="0"/>
              <w:spacing w:before="0" w:after="20"/>
              <w:jc w:val="left"/>
              <w:rPr>
                <w:rFonts w:ascii="arial" w:hAnsi="arial"/>
                <w:sz w:val="20"/>
              </w:rPr>
            </w:pPr>
            <w:r>
              <w:rPr>
                <w:rFonts w:ascii="arial" w:hAnsi="arial"/>
                <w:sz w:val="20"/>
              </w:rPr>
              <w:t>Fee computed on table in exhibit required by Item 25(b) per Exchange Act Rules 14a-6(i)(1) and 0-11.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08495" cy="93097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08495" cy="9309735"/>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221220" cy="93097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221220" cy="9309735"/>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r>
        <w:rPr>
          <w:rFonts w:ascii="Times New Roman" w:hAnsi="Times New Roman"/>
          <w:b/>
          <w:color w:val="1070B8"/>
          <w:sz w:val="44"/>
        </w:rPr>
        <w:t xml:space="preserve">Message from Our Chairman and Our Presiding </w:t>
      </w:r>
    </w:p>
    <w:p>
      <w:pPr>
        <w:pStyle w:val="TextBody"/>
        <w:bidi w:val="0"/>
        <w:spacing w:before="0" w:after="0"/>
        <w:jc w:val="center"/>
        <w:rPr>
          <w:rFonts w:ascii="Times New Roman" w:hAnsi="Times New Roman"/>
          <w:b/>
          <w:color w:val="1070B8"/>
          <w:sz w:val="44"/>
        </w:rPr>
      </w:pPr>
      <w:r>
        <w:rPr>
          <w:rFonts w:ascii="Times New Roman" w:hAnsi="Times New Roman"/>
          <w:b/>
          <w:color w:val="1070B8"/>
          <w:sz w:val="44"/>
        </w:rPr>
        <w:t xml:space="preserve">Independent Director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0"/>
        <w:gridCol w:w="120"/>
        <w:gridCol w:w="2065"/>
        <w:gridCol w:w="2065"/>
        <w:gridCol w:w="3425"/>
      </w:tblGrid>
      <w:tr>
        <w:trPr/>
        <w:tc>
          <w:tcPr>
            <w:tcW w:w="2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2530" w:type="dxa"/>
            <w:tcBorders/>
            <w:vAlign w:val="center"/>
          </w:tcPr>
          <w:p>
            <w:pPr>
              <w:pStyle w:val="TableContents"/>
              <w:bidi w:val="0"/>
              <w:spacing w:before="0" w:after="0"/>
              <w:jc w:val="center"/>
              <w:rPr/>
            </w:pPr>
            <w:r>
              <w:rPr/>
              <w:drawing>
                <wp:inline distT="0" distB="0" distL="0" distR="0">
                  <wp:extent cx="1574800" cy="21640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74800" cy="216408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color w:val="1F295C"/>
                <w:sz w:val="20"/>
              </w:rPr>
            </w:pPr>
            <w:r>
              <w:rPr>
                <w:rFonts w:ascii="arial" w:hAnsi="arial"/>
                <w:color w:val="1F295C"/>
                <w:sz w:val="20"/>
              </w:rPr>
              <w:t>Jeffrey W. Edwards</w:t>
            </w:r>
          </w:p>
          <w:p>
            <w:pPr>
              <w:pStyle w:val="TableContents"/>
              <w:bidi w:val="0"/>
              <w:spacing w:before="0" w:after="0"/>
              <w:jc w:val="center"/>
              <w:rPr>
                <w:rFonts w:ascii="arial" w:hAnsi="arial"/>
                <w:i/>
                <w:color w:val="1F295C"/>
                <w:sz w:val="20"/>
              </w:rPr>
            </w:pPr>
            <w:r>
              <w:rPr>
                <w:rFonts w:ascii="arial" w:hAnsi="arial"/>
                <w:i/>
                <w:color w:val="1F295C"/>
                <w:sz w:val="20"/>
              </w:rPr>
              <w:t>Chairman of the Board</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595120" cy="21253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95120" cy="212534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color w:val="1F295C"/>
                <w:sz w:val="20"/>
              </w:rPr>
            </w:pPr>
            <w:r>
              <w:rPr>
                <w:rFonts w:ascii="arial" w:hAnsi="arial"/>
                <w:color w:val="1F295C"/>
                <w:sz w:val="20"/>
              </w:rPr>
              <w:t>Margot L. Carter</w:t>
            </w:r>
          </w:p>
          <w:p>
            <w:pPr>
              <w:pStyle w:val="TableContents"/>
              <w:bidi w:val="0"/>
              <w:spacing w:before="0" w:after="0"/>
              <w:jc w:val="center"/>
              <w:rPr>
                <w:rFonts w:ascii="arial" w:hAnsi="arial"/>
                <w:i/>
                <w:color w:val="1F295C"/>
                <w:sz w:val="20"/>
              </w:rPr>
            </w:pPr>
            <w:r>
              <w:rPr>
                <w:rFonts w:ascii="arial" w:hAnsi="arial"/>
                <w:i/>
                <w:color w:val="1F295C"/>
                <w:sz w:val="20"/>
              </w:rPr>
              <w:t>Presiding Independent</w:t>
            </w:r>
          </w:p>
          <w:p>
            <w:pPr>
              <w:pStyle w:val="TableContents"/>
              <w:bidi w:val="0"/>
              <w:spacing w:before="0" w:after="20"/>
              <w:jc w:val="center"/>
              <w:rPr>
                <w:rFonts w:ascii="arial" w:hAnsi="arial"/>
                <w:i/>
                <w:color w:val="1F295C"/>
                <w:sz w:val="20"/>
              </w:rPr>
            </w:pPr>
            <w:r>
              <w:rPr>
                <w:rFonts w:ascii="arial" w:hAnsi="arial"/>
                <w:i/>
                <w:color w:val="1F295C"/>
                <w:sz w:val="20"/>
              </w:rPr>
              <w:t>Director</w:t>
            </w:r>
          </w:p>
        </w:tc>
        <w:tc>
          <w:tcPr>
            <w:tcW w:w="120" w:type="dxa"/>
            <w:tcBorders/>
            <w:vAlign w:val="center"/>
          </w:tcPr>
          <w:p>
            <w:pPr>
              <w:pStyle w:val="TableContents"/>
              <w:bidi w:val="0"/>
              <w:spacing w:before="0" w:after="283"/>
              <w:jc w:val="left"/>
              <w:rPr/>
            </w:pPr>
            <w:r>
              <w:rPr/>
              <w:t>  </w:t>
            </w:r>
          </w:p>
        </w:tc>
        <w:tc>
          <w:tcPr>
            <w:tcW w:w="7555" w:type="dxa"/>
            <w:gridSpan w:val="3"/>
            <w:tcBorders/>
            <w:vAlign w:val="center"/>
          </w:tcPr>
          <w:p>
            <w:pPr>
              <w:pStyle w:val="TableContents"/>
              <w:bidi w:val="0"/>
              <w:spacing w:before="0" w:after="0"/>
              <w:jc w:val="left"/>
              <w:rPr>
                <w:rFonts w:ascii="arial" w:hAnsi="arial"/>
                <w:sz w:val="20"/>
              </w:rPr>
            </w:pPr>
            <w:r>
              <w:rPr>
                <w:rFonts w:ascii="arial" w:hAnsi="arial"/>
                <w:sz w:val="20"/>
              </w:rPr>
              <w:t>Installed Building Products, Inc. (“IBP” or the “Company”) set another company record for net revenue, net income, and net income per diluted share in 2024, reinforcing our long-standing commitment to providing residential and commercial customers with high quality, efficient building product installation services. Record profitability in 2024 drove another year of strong operating cash flow. During 2024, we continued to grow the company by adding over $100 million in annual revenue through acquisitions, while distributing a combined $230 million to shareholders through dividends and share repurchases. IBP’s Board of Directors (“Board”) is encouraged by the Company’s longstanding track record, which is driven by consistent execution of our growth strategy, a focus on efficiencies, managing expenses, our disciplined approach to capital allocation, and prioritizing improvements to core functions under changing market conditions. We will continue to focus on the aspects of our business we can control and remain flexible under prevailing market conditions to realize operational and financial improvements.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IBP grew net revenue to $2.9 billion through a combination of same branch and acquisition sales growth in 2024. Growing profitably continues to be a priority at IBP. Through earnings contributed from acquisitions, including nine businesses acquired in 2024, the Company achieved record net income and net income per diluted share of $257 million and $9.10, respectively. Our acquisition pipeline continues to be strong. While the timing of acquisitions is difficult to predict, IBP intends to continue to leverage its strong balance sheet and liquidity position for geographic expansion and further penetration into existing markets throughout economic and industry cycles. A favorable capital position allows the Company to be competitive in the pursuit of well-run businesses, while having significant insider ownership ensures that a high degree of discipline is applied to expense control and capital allocation decisions and priorities that are closely aligned with those of our shareholders.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IBP’s scale buying advantage and its ability to effectively manage material availability is a key competitive advantage. 2024 was characterized by limited availability of one of our core products, fiberglass insulation, with the first additions of new manufacturing capacity in several years becoming active in late 2024. While capacity additions helped set an expectation for a more balanced market in 2025, changes in economic and trade policy, some of which have already begun to take effect, have created more uncertainty around residential and commercial construction material needs. As a company that sources a majority of its materials within U.S. borders, tariff increases and trade policy changes may not impact IBP as much as some companies with meaningful exposure to suppliers abroad. IBP’s Installation segment is currently, and has historically been, an operation whose risk is mitigated by its reliance on largely domestically-sourced material and a dedicated employee base, which we believe is an advantage in the current environment.</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As a company built on the delivery of high quality, value-added service, IBP fully understands the importance of its labor force. The job of installing building products can be challenging and we value each employee across all of our more than 250 branches nationally. Because time is money, our customers also understand the value of our service when IBP installers remain on schedule for our part of the construction process. Our workforce is enhanced through consistent training, an institutional focus on safety, identifiable career paths, and comprehensive and unique benefits, resulting in higher job satisfaction and loyalty. Unlike subcontractor-based models, our approach reduces turnover and enhances accountability, which results in more consistent service quality delivered to our customers, and is crucial in today’s fluctuating market. IBP has gone beyond paying competitive wages, as the Company has developed numerous ancillary benefits for employees, which demonstrate the value each employee holds within our organization.</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are dedicated to enhancing employee well-being and productivity through differentiated programs focused on essential workplace skills and emotional development. The benefits are clear on both an individual level and through a more harmonious work environment. Our multifaceted financial wellness program helps employees secure their financial futures with emergency funds, debt repayment plans, and a longevity stock program. In 2024, we awarded over $4.5 million in scholarships to support the education of our employees and their families. At IBP, employees are celebrated through our investments in their physical health and safety, emotional well-being, personal growth, and financial security. </w:t>
      </w:r>
    </w:p>
    <w:p>
      <w:pPr>
        <w:pStyle w:val="TextBody"/>
        <w:bidi w:val="0"/>
        <w:spacing w:before="320" w:after="0"/>
        <w:jc w:val="left"/>
        <w:rPr>
          <w:rFonts w:ascii="arial" w:hAnsi="arial"/>
          <w:sz w:val="20"/>
        </w:rPr>
      </w:pPr>
      <w:r>
        <w:rPr>
          <w:rFonts w:ascii="arial" w:hAnsi="arial"/>
          <w:sz w:val="20"/>
        </w:rPr>
        <w:t xml:space="preserve">IBP is a company that values and is committed to strong performance, excellent corporate governance, and corporate responsibility. Please read the accompanying Proxy Statement carefully and attend our Virtual Annual Meeting on May 20, 2025. Please vote your shares as soon as possible, whether or not you are planning to attend the Annual Meeting. You may vote by telephone or Internet, or by signing, dating and returning the proxy card in the prepaid envelope provided if you requested printed proxy materials. </w:t>
      </w:r>
    </w:p>
    <w:p>
      <w:pPr>
        <w:pStyle w:val="TextBody"/>
        <w:bidi w:val="0"/>
        <w:spacing w:before="320" w:after="0"/>
        <w:jc w:val="left"/>
        <w:rPr>
          <w:rFonts w:ascii="arial" w:hAnsi="arial"/>
          <w:sz w:val="20"/>
        </w:rPr>
      </w:pPr>
      <w:r>
        <w:rPr>
          <w:rFonts w:ascii="arial" w:hAnsi="arial"/>
          <w:sz w:val="20"/>
        </w:rPr>
        <w:t xml:space="preserve">We thank you for your continued support, trust, and investment in Installed Building Products. </w:t>
      </w:r>
    </w:p>
    <w:p>
      <w:pPr>
        <w:pStyle w:val="TextBody"/>
        <w:bidi w:val="0"/>
        <w:spacing w:before="0" w:after="0"/>
        <w:jc w:val="left"/>
        <w:rPr/>
      </w:pPr>
      <w:r>
        <w:rPr/>
        <w:t> </w:t>
      </w:r>
    </w:p>
    <w:tbl>
      <w:tblPr>
        <w:tblW w:w="6995" w:type="dxa"/>
        <w:jc w:val="left"/>
        <w:tblInd w:w="0" w:type="dxa"/>
        <w:tblLayout w:type="fixed"/>
        <w:tblCellMar>
          <w:top w:w="0" w:type="dxa"/>
          <w:left w:w="0" w:type="dxa"/>
          <w:bottom w:w="0" w:type="dxa"/>
          <w:right w:w="0" w:type="dxa"/>
        </w:tblCellMar>
      </w:tblPr>
      <w:tblGrid>
        <w:gridCol w:w="3240"/>
        <w:gridCol w:w="120"/>
        <w:gridCol w:w="3635"/>
      </w:tblGrid>
      <w:tr>
        <w:trPr/>
        <w:tc>
          <w:tcPr>
            <w:tcW w:w="3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3240" w:type="dxa"/>
            <w:tcBorders/>
            <w:vAlign w:val="center"/>
          </w:tcPr>
          <w:p>
            <w:pPr>
              <w:pStyle w:val="TableContents"/>
              <w:bidi w:val="0"/>
              <w:spacing w:before="0" w:after="0"/>
              <w:jc w:val="left"/>
              <w:rPr/>
            </w:pPr>
            <w:r>
              <w:rPr/>
              <w:drawing>
                <wp:inline distT="0" distB="0" distL="0" distR="0">
                  <wp:extent cx="2009775" cy="3435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09775" cy="343535"/>
                          </a:xfrm>
                          <a:prstGeom prst="rect">
                            <a:avLst/>
                          </a:prstGeom>
                        </pic:spPr>
                      </pic:pic>
                    </a:graphicData>
                  </a:graphic>
                </wp:inline>
              </w:drawing>
            </w:r>
            <w:r>
              <w:rPr/>
              <w:t xml:space="preserve"> </w:t>
            </w:r>
          </w:p>
          <w:p>
            <w:pPr>
              <w:pStyle w:val="TableContents"/>
              <w:bidi w:val="0"/>
              <w:spacing w:before="0" w:after="0"/>
              <w:jc w:val="left"/>
              <w:rPr>
                <w:rFonts w:ascii="arial" w:hAnsi="arial"/>
                <w:b/>
                <w:color w:val="1F295C"/>
                <w:sz w:val="20"/>
              </w:rPr>
            </w:pPr>
            <w:r>
              <w:rPr>
                <w:rFonts w:ascii="arial" w:hAnsi="arial"/>
                <w:b/>
                <w:color w:val="1F295C"/>
                <w:sz w:val="20"/>
              </w:rPr>
              <w:t>JEFFREY W. EDWARDS</w:t>
            </w:r>
          </w:p>
          <w:p>
            <w:pPr>
              <w:pStyle w:val="TableContents"/>
              <w:bidi w:val="0"/>
              <w:spacing w:before="0" w:after="20"/>
              <w:jc w:val="left"/>
              <w:rPr>
                <w:rFonts w:ascii="arial" w:hAnsi="arial"/>
                <w:b/>
                <w:color w:val="1F295C"/>
                <w:sz w:val="20"/>
              </w:rPr>
            </w:pPr>
            <w:r>
              <w:rPr>
                <w:rFonts w:ascii="arial" w:hAnsi="arial"/>
                <w:b/>
                <w:color w:val="1F295C"/>
                <w:sz w:val="20"/>
              </w:rPr>
              <w:t>CHAIRMAN OF THE BOARD</w:t>
            </w:r>
          </w:p>
        </w:tc>
        <w:tc>
          <w:tcPr>
            <w:tcW w:w="1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pPr>
            <w:r>
              <w:rPr/>
              <w:drawing>
                <wp:inline distT="0" distB="0" distL="0" distR="0">
                  <wp:extent cx="1706880" cy="3898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06880" cy="389890"/>
                          </a:xfrm>
                          <a:prstGeom prst="rect">
                            <a:avLst/>
                          </a:prstGeom>
                        </pic:spPr>
                      </pic:pic>
                    </a:graphicData>
                  </a:graphic>
                </wp:inline>
              </w:drawing>
            </w:r>
            <w:r>
              <w:rPr/>
              <w:t xml:space="preserve"> </w:t>
            </w:r>
          </w:p>
          <w:p>
            <w:pPr>
              <w:pStyle w:val="TableContents"/>
              <w:bidi w:val="0"/>
              <w:spacing w:before="0" w:after="0"/>
              <w:jc w:val="left"/>
              <w:rPr>
                <w:rFonts w:ascii="arial" w:hAnsi="arial"/>
                <w:b/>
                <w:color w:val="1F295C"/>
                <w:sz w:val="20"/>
              </w:rPr>
            </w:pPr>
            <w:r>
              <w:rPr>
                <w:rFonts w:ascii="arial" w:hAnsi="arial"/>
                <w:b/>
                <w:color w:val="1F295C"/>
                <w:sz w:val="20"/>
              </w:rPr>
              <w:t>MARGOT L. CARTER</w:t>
            </w:r>
          </w:p>
          <w:p>
            <w:pPr>
              <w:pStyle w:val="TableContents"/>
              <w:bidi w:val="0"/>
              <w:spacing w:before="0" w:after="20"/>
              <w:jc w:val="left"/>
              <w:rPr>
                <w:rFonts w:ascii="arial" w:hAnsi="arial"/>
                <w:b/>
                <w:color w:val="1F295C"/>
                <w:sz w:val="20"/>
              </w:rPr>
            </w:pPr>
            <w:r>
              <w:rPr>
                <w:rFonts w:ascii="arial" w:hAnsi="arial"/>
                <w:b/>
                <w:color w:val="1F295C"/>
                <w:sz w:val="20"/>
              </w:rPr>
              <w:t>PRESIDING INDEPENDENT DIRECTOR</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bookmarkStart w:id="2" w:name="toc"/>
      <w:bookmarkEnd w:id="2"/>
      <w:r>
        <w:rPr>
          <w:rFonts w:ascii="Times New Roman" w:hAnsi="Times New Roman"/>
          <w:b/>
          <w:color w:val="1070B8"/>
          <w:sz w:val="44"/>
        </w:rPr>
        <w:t xml:space="preserve">TABLE OF CONTENTS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3110230" cy="9972040"/>
                <wp:effectExtent l="0" t="0" r="0" b="0"/>
                <wp:wrapSquare wrapText="right"/>
                <wp:docPr id="7"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49638_1">
                                    <w:r>
                                      <w:rPr>
                                        <w:rStyle w:val="InternetLink"/>
                                        <w:b/>
                                        <w:color w:val="1070B8"/>
                                      </w:rPr>
                                      <w:t>PROXY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2</w:t>
                                  </w:r>
                                </w:p>
                              </w:tc>
                              <w:tc>
                                <w:tcPr>
                                  <w:tcW w:w="75" w:type="dxa"/>
                                  <w:tcBorders/>
                                  <w:vAlign w:val="center"/>
                                </w:tcPr>
                                <w:p>
                                  <w:pPr>
                                    <w:pStyle w:val="TableContents"/>
                                    <w:bidi w:val="0"/>
                                    <w:spacing w:before="0" w:after="283"/>
                                    <w:jc w:val="left"/>
                                    <w:rPr>
                                      <w:color w:val="1070B8"/>
                                    </w:rPr>
                                  </w:pPr>
                                  <w:r>
                                    <w:rPr>
                                      <w:color w:val="1070B8"/>
                                    </w:rPr>
                                    <w:t> </w:t>
                                  </w:r>
                                </w:p>
                              </w:tc>
                            </w:tr>
                            <w:tr>
                              <w:trPr/>
                              <w:tc>
                                <w:tcPr>
                                  <w:tcW w:w="9750" w:type="dxa"/>
                                  <w:tcBorders/>
                                  <w:vAlign w:val="center"/>
                                </w:tcPr>
                                <w:p>
                                  <w:pPr>
                                    <w:pStyle w:val="TableContents"/>
                                    <w:bidi w:val="0"/>
                                    <w:spacing w:before="0" w:after="283"/>
                                    <w:jc w:val="left"/>
                                    <w:rPr/>
                                  </w:pPr>
                                  <w:hyperlink w:anchor="toc849638_2">
                                    <w:r>
                                      <w:rPr>
                                        <w:rStyle w:val="InternetLink"/>
                                      </w:rPr>
                                      <w:t>A</w:t>
                                    </w:r>
                                  </w:hyperlink>
                                  <w:hyperlink w:anchor="toc849638_2">
                                    <w:r>
                                      <w:rPr>
                                        <w:rStyle w:val="InternetLink"/>
                                        <w:sz w:val="20"/>
                                        <w:u w:val="single"/>
                                      </w:rPr>
                                      <w:t>NNUAL</w:t>
                                    </w:r>
                                  </w:hyperlink>
                                  <w:hyperlink w:anchor="toc849638_2">
                                    <w:r>
                                      <w:rPr>
                                        <w:rStyle w:val="InternetLink"/>
                                      </w:rPr>
                                      <w:t xml:space="preserve"> M</w:t>
                                    </w:r>
                                  </w:hyperlink>
                                  <w:hyperlink w:anchor="toc849638_2">
                                    <w:r>
                                      <w:rPr>
                                        <w:rStyle w:val="InternetLink"/>
                                        <w:sz w:val="20"/>
                                        <w:u w:val="single"/>
                                      </w:rPr>
                                      <w:t>EETING</w:t>
                                    </w:r>
                                  </w:hyperlink>
                                  <w:hyperlink w:anchor="toc849638_2">
                                    <w:r>
                                      <w:rPr>
                                        <w:rStyle w:val="InternetLink"/>
                                      </w:rPr>
                                      <w:t xml:space="preserve"> P</w:t>
                                    </w:r>
                                  </w:hyperlink>
                                  <w:hyperlink w:anchor="toc849638_2">
                                    <w:r>
                                      <w:rPr>
                                        <w:rStyle w:val="InternetLink"/>
                                        <w:sz w:val="20"/>
                                        <w:u w:val="single"/>
                                      </w:rPr>
                                      <w:t>ROPOSALS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
                                    <w:r>
                                      <w:rPr>
                                        <w:rStyle w:val="InternetLink"/>
                                      </w:rPr>
                                      <w:t>B</w:t>
                                    </w:r>
                                  </w:hyperlink>
                                  <w:hyperlink w:anchor="toc849638_3">
                                    <w:r>
                                      <w:rPr>
                                        <w:rStyle w:val="InternetLink"/>
                                        <w:sz w:val="20"/>
                                        <w:u w:val="single"/>
                                      </w:rPr>
                                      <w:t>USINESS</w:t>
                                    </w:r>
                                  </w:hyperlink>
                                  <w:hyperlink w:anchor="toc849638_3">
                                    <w:r>
                                      <w:rPr>
                                        <w:rStyle w:val="InternetLink"/>
                                      </w:rPr>
                                      <w:t xml:space="preserve"> O</w:t>
                                    </w:r>
                                  </w:hyperlink>
                                  <w:hyperlink w:anchor="toc849638_3">
                                    <w:r>
                                      <w:rPr>
                                        <w:rStyle w:val="InternetLink"/>
                                        <w:sz w:val="20"/>
                                        <w:u w:val="single"/>
                                      </w:rPr>
                                      <w:t>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0"/>
                                    <w:jc w:val="left"/>
                                    <w:rPr/>
                                  </w:pPr>
                                  <w:hyperlink w:anchor="toc849638_4">
                                    <w:r>
                                      <w:rPr>
                                        <w:rStyle w:val="InternetLink"/>
                                        <w:rFonts w:ascii="arial" w:hAnsi="arial"/>
                                        <w:sz w:val="18"/>
                                      </w:rPr>
                                      <w:t>O</w:t>
                                    </w:r>
                                  </w:hyperlink>
                                  <w:hyperlink w:anchor="toc849638_4">
                                    <w:r>
                                      <w:rPr>
                                        <w:rStyle w:val="InternetLink"/>
                                        <w:rFonts w:ascii="arial" w:hAnsi="arial"/>
                                        <w:sz w:val="20"/>
                                        <w:u w:val="single"/>
                                      </w:rPr>
                                      <w:t>UR</w:t>
                                    </w:r>
                                  </w:hyperlink>
                                  <w:hyperlink w:anchor="toc849638_4">
                                    <w:r>
                                      <w:rPr>
                                        <w:rStyle w:val="InternetLink"/>
                                        <w:rFonts w:ascii="arial" w:hAnsi="arial"/>
                                        <w:sz w:val="18"/>
                                      </w:rPr>
                                      <w:t xml:space="preserve"> B</w:t>
                                    </w:r>
                                  </w:hyperlink>
                                  <w:hyperlink w:anchor="toc849638_4">
                                    <w:r>
                                      <w:rPr>
                                        <w:rStyle w:val="InternetLink"/>
                                        <w:rFonts w:ascii="arial" w:hAnsi="arial"/>
                                        <w:sz w:val="20"/>
                                        <w:u w:val="single"/>
                                      </w:rPr>
                                      <w:t>USINESS</w:t>
                                    </w:r>
                                  </w:hyperlink>
                                  <w:hyperlink w:anchor="toc849638_4">
                                    <w:r>
                                      <w:rPr>
                                        <w:rStyle w:val="InternetLink"/>
                                        <w:rFonts w:ascii="arial" w:hAnsi="arial"/>
                                        <w:sz w:val="18"/>
                                      </w:rPr>
                                      <w:t xml:space="preserve"> S</w:t>
                                    </w:r>
                                  </w:hyperlink>
                                  <w:hyperlink w:anchor="toc849638_4">
                                    <w:r>
                                      <w:rPr>
                                        <w:rStyle w:val="InternetLink"/>
                                        <w:rFonts w:ascii="arial" w:hAnsi="arial"/>
                                        <w:sz w:val="20"/>
                                        <w:u w:val="single"/>
                                      </w:rPr>
                                      <w:t>TRATEGY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6">
                                    <w:r>
                                      <w:rPr>
                                        <w:rStyle w:val="InternetLink"/>
                                      </w:rPr>
                                      <w:t>2024 F</w:t>
                                    </w:r>
                                  </w:hyperlink>
                                  <w:hyperlink w:anchor="toc849638_6">
                                    <w:r>
                                      <w:rPr>
                                        <w:rStyle w:val="InternetLink"/>
                                        <w:sz w:val="20"/>
                                        <w:u w:val="single"/>
                                      </w:rPr>
                                      <w:t>INANCIAL</w:t>
                                    </w:r>
                                  </w:hyperlink>
                                  <w:hyperlink w:anchor="toc849638_6">
                                    <w:r>
                                      <w:rPr>
                                        <w:rStyle w:val="InternetLink"/>
                                      </w:rPr>
                                      <w:t xml:space="preserve"> H</w:t>
                                    </w:r>
                                  </w:hyperlink>
                                  <w:hyperlink w:anchor="toc849638_6">
                                    <w:r>
                                      <w:rPr>
                                        <w:rStyle w:val="InternetLink"/>
                                        <w:sz w:val="20"/>
                                        <w:u w:val="single"/>
                                      </w:rPr>
                                      <w:t>IGHLIGHTS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7">
                                    <w:r>
                                      <w:rPr>
                                        <w:rStyle w:val="InternetLink"/>
                                      </w:rPr>
                                      <w:t>C</w:t>
                                    </w:r>
                                  </w:hyperlink>
                                  <w:hyperlink w:anchor="toc849638_7">
                                    <w:r>
                                      <w:rPr>
                                        <w:rStyle w:val="InternetLink"/>
                                        <w:sz w:val="20"/>
                                        <w:u w:val="single"/>
                                      </w:rPr>
                                      <w:t>ORPORATE</w:t>
                                    </w:r>
                                  </w:hyperlink>
                                  <w:hyperlink w:anchor="toc849638_7">
                                    <w:r>
                                      <w:rPr>
                                        <w:rStyle w:val="InternetLink"/>
                                      </w:rPr>
                                      <w:t xml:space="preserve"> R</w:t>
                                    </w:r>
                                  </w:hyperlink>
                                  <w:hyperlink w:anchor="toc849638_7">
                                    <w:r>
                                      <w:rPr>
                                        <w:rStyle w:val="InternetLink"/>
                                        <w:sz w:val="20"/>
                                        <w:u w:val="single"/>
                                      </w:rPr>
                                      <w:t>ESPONSIBILITY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8">
                                    <w:r>
                                      <w:rPr>
                                        <w:rStyle w:val="InternetLink"/>
                                      </w:rPr>
                                      <w:t>B</w:t>
                                    </w:r>
                                  </w:hyperlink>
                                  <w:hyperlink w:anchor="toc849638_8">
                                    <w:r>
                                      <w:rPr>
                                        <w:rStyle w:val="InternetLink"/>
                                        <w:sz w:val="20"/>
                                        <w:u w:val="single"/>
                                      </w:rPr>
                                      <w:t>OARD</w:t>
                                    </w:r>
                                  </w:hyperlink>
                                  <w:hyperlink w:anchor="toc849638_8">
                                    <w:r>
                                      <w:rPr>
                                        <w:rStyle w:val="InternetLink"/>
                                      </w:rPr>
                                      <w:t xml:space="preserve"> </w:t>
                                    </w:r>
                                  </w:hyperlink>
                                  <w:hyperlink w:anchor="toc849638_8">
                                    <w:r>
                                      <w:rPr>
                                        <w:rStyle w:val="InternetLink"/>
                                        <w:sz w:val="20"/>
                                        <w:u w:val="single"/>
                                      </w:rPr>
                                      <w:t>OF</w:t>
                                    </w:r>
                                  </w:hyperlink>
                                  <w:hyperlink w:anchor="toc849638_8">
                                    <w:r>
                                      <w:rPr>
                                        <w:rStyle w:val="InternetLink"/>
                                      </w:rPr>
                                      <w:t xml:space="preserve"> D</w:t>
                                    </w:r>
                                  </w:hyperlink>
                                  <w:hyperlink w:anchor="toc849638_8">
                                    <w:r>
                                      <w:rPr>
                                        <w:rStyle w:val="InternetLink"/>
                                        <w:sz w:val="20"/>
                                        <w:u w:val="single"/>
                                      </w:rPr>
                                      <w:t>IRECTORS</w:t>
                                    </w:r>
                                  </w:hyperlink>
                                  <w:hyperlink w:anchor="toc849638_8">
                                    <w:r>
                                      <w:rPr>
                                        <w:rStyle w:val="InternetLink"/>
                                      </w:rPr>
                                      <w:t xml:space="preserve"> C</w:t>
                                    </w:r>
                                  </w:hyperlink>
                                  <w:hyperlink w:anchor="toc849638_8">
                                    <w:r>
                                      <w:rPr>
                                        <w:rStyle w:val="InternetLink"/>
                                        <w:sz w:val="20"/>
                                        <w:u w:val="single"/>
                                      </w:rPr>
                                      <w:t>OMPOSITION</w:t>
                                    </w:r>
                                  </w:hyperlink>
                                  <w:hyperlink w:anchor="toc849638_8">
                                    <w:r>
                                      <w:rPr>
                                        <w:rStyle w:val="InternetLink"/>
                                      </w:rPr>
                                      <w:t xml:space="preserve"> </w:t>
                                    </w:r>
                                  </w:hyperlink>
                                  <w:hyperlink w:anchor="toc849638_8">
                                    <w:r>
                                      <w:rPr>
                                        <w:rStyle w:val="InternetLink"/>
                                        <w:sz w:val="20"/>
                                        <w:u w:val="single"/>
                                      </w:rPr>
                                      <w:t>AND</w:t>
                                    </w:r>
                                  </w:hyperlink>
                                  <w:hyperlink w:anchor="toc849638_8">
                                    <w:r>
                                      <w:rPr>
                                        <w:rStyle w:val="InternetLink"/>
                                      </w:rPr>
                                      <w:t xml:space="preserve"> Q</w:t>
                                    </w:r>
                                  </w:hyperlink>
                                  <w:hyperlink w:anchor="toc849638_8">
                                    <w:r>
                                      <w:rPr>
                                        <w:rStyle w:val="InternetLink"/>
                                        <w:sz w:val="20"/>
                                        <w:u w:val="single"/>
                                      </w:rPr>
                                      <w:t>UALIFICATIONS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0">
                                    <w:r>
                                      <w:rPr>
                                        <w:rStyle w:val="InternetLink"/>
                                      </w:rPr>
                                      <w:t>2024 E</w:t>
                                    </w:r>
                                  </w:hyperlink>
                                  <w:hyperlink w:anchor="toc849638_10">
                                    <w:r>
                                      <w:rPr>
                                        <w:rStyle w:val="InternetLink"/>
                                        <w:sz w:val="20"/>
                                        <w:u w:val="single"/>
                                      </w:rPr>
                                      <w:t>XECUTIVE</w:t>
                                    </w:r>
                                  </w:hyperlink>
                                  <w:hyperlink w:anchor="toc849638_10">
                                    <w:r>
                                      <w:rPr>
                                        <w:rStyle w:val="InternetLink"/>
                                      </w:rPr>
                                      <w:t xml:space="preserve"> C</w:t>
                                    </w:r>
                                  </w:hyperlink>
                                  <w:hyperlink w:anchor="toc849638_10">
                                    <w:r>
                                      <w:rPr>
                                        <w:rStyle w:val="InternetLink"/>
                                        <w:sz w:val="20"/>
                                        <w:u w:val="single"/>
                                      </w:rPr>
                                      <w:t>OMPENSATION</w:t>
                                    </w:r>
                                  </w:hyperlink>
                                  <w:hyperlink w:anchor="toc849638_10">
                                    <w:r>
                                      <w:rPr>
                                        <w:rStyle w:val="InternetLink"/>
                                      </w:rPr>
                                      <w:t xml:space="preserve"> </w:t>
                                    </w:r>
                                  </w:hyperlink>
                                  <w:hyperlink w:anchor="toc849638_10">
                                    <w:r>
                                      <w:rPr>
                                        <w:rStyle w:val="InternetLink"/>
                                        <w:sz w:val="20"/>
                                        <w:u w:val="single"/>
                                      </w:rPr>
                                      <w:t>AT</w:t>
                                    </w:r>
                                  </w:hyperlink>
                                  <w:hyperlink w:anchor="toc849638_10">
                                    <w:r>
                                      <w:rPr>
                                        <w:rStyle w:val="InternetLink"/>
                                      </w:rPr>
                                      <w:t xml:space="preserve"> </w:t>
                                    </w:r>
                                  </w:hyperlink>
                                  <w:hyperlink w:anchor="toc849638_10">
                                    <w:r>
                                      <w:rPr>
                                        <w:rStyle w:val="InternetLink"/>
                                        <w:sz w:val="20"/>
                                        <w:u w:val="single"/>
                                      </w:rPr>
                                      <w:t>A</w:t>
                                    </w:r>
                                  </w:hyperlink>
                                  <w:hyperlink w:anchor="toc849638_10">
                                    <w:r>
                                      <w:rPr>
                                        <w:rStyle w:val="InternetLink"/>
                                      </w:rPr>
                                      <w:t xml:space="preserve"> G</w:t>
                                    </w:r>
                                  </w:hyperlink>
                                  <w:hyperlink w:anchor="toc849638_10">
                                    <w:r>
                                      <w:rPr>
                                        <w:rStyle w:val="InternetLink"/>
                                        <w:sz w:val="20"/>
                                        <w:u w:val="single"/>
                                      </w:rPr>
                                      <w:t>LANCE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1">
                                    <w:r>
                                      <w:rPr>
                                        <w:rStyle w:val="InternetLink"/>
                                      </w:rPr>
                                      <w:t>K</w:t>
                                    </w:r>
                                  </w:hyperlink>
                                  <w:hyperlink w:anchor="toc849638_11">
                                    <w:r>
                                      <w:rPr>
                                        <w:rStyle w:val="InternetLink"/>
                                        <w:sz w:val="20"/>
                                        <w:u w:val="single"/>
                                      </w:rPr>
                                      <w:t>EY</w:t>
                                    </w:r>
                                  </w:hyperlink>
                                  <w:hyperlink w:anchor="toc849638_11">
                                    <w:r>
                                      <w:rPr>
                                        <w:rStyle w:val="InternetLink"/>
                                      </w:rPr>
                                      <w:t xml:space="preserve"> C</w:t>
                                    </w:r>
                                  </w:hyperlink>
                                  <w:hyperlink w:anchor="toc849638_11">
                                    <w:r>
                                      <w:rPr>
                                        <w:rStyle w:val="InternetLink"/>
                                        <w:sz w:val="20"/>
                                        <w:u w:val="single"/>
                                      </w:rPr>
                                      <w:t>OMPENSATION</w:t>
                                    </w:r>
                                  </w:hyperlink>
                                  <w:hyperlink w:anchor="toc849638_11">
                                    <w:r>
                                      <w:rPr>
                                        <w:rStyle w:val="InternetLink"/>
                                      </w:rPr>
                                      <w:t xml:space="preserve"> P</w:t>
                                    </w:r>
                                  </w:hyperlink>
                                  <w:hyperlink w:anchor="toc849638_11">
                                    <w:r>
                                      <w:rPr>
                                        <w:rStyle w:val="InternetLink"/>
                                        <w:sz w:val="20"/>
                                        <w:u w:val="single"/>
                                      </w:rPr>
                                      <w:t>RACTICES</w:t>
                                    </w:r>
                                  </w:hyperlink>
                                  <w:hyperlink w:anchor="toc849638_11">
                                    <w:r>
                                      <w:rPr>
                                        <w:rStyle w:val="InternetLink"/>
                                      </w:rPr>
                                      <w:t xml:space="preserve"> </w:t>
                                    </w:r>
                                  </w:hyperlink>
                                  <w:hyperlink w:anchor="toc849638_11">
                                    <w:r>
                                      <w:rPr>
                                        <w:rStyle w:val="InternetLink"/>
                                        <w:sz w:val="20"/>
                                        <w:u w:val="single"/>
                                      </w:rPr>
                                      <w:t>FOR</w:t>
                                    </w:r>
                                  </w:hyperlink>
                                  <w:hyperlink w:anchor="toc849638_11">
                                    <w:r>
                                      <w:rPr>
                                        <w:rStyle w:val="InternetLink"/>
                                      </w:rPr>
                                      <w:t xml:space="preserve"> E</w:t>
                                    </w:r>
                                  </w:hyperlink>
                                  <w:hyperlink w:anchor="toc849638_11">
                                    <w:r>
                                      <w:rPr>
                                        <w:rStyle w:val="InternetLink"/>
                                        <w:sz w:val="20"/>
                                        <w:u w:val="single"/>
                                      </w:rPr>
                                      <w:t>XECUTIVES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2">
                                    <w:r>
                                      <w:rPr>
                                        <w:rStyle w:val="InternetLink"/>
                                        <w:b/>
                                        <w:color w:val="1070B8"/>
                                      </w:rPr>
                                      <w:t>PROPOSAL 1 – ELECTION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9</w:t>
                                  </w:r>
                                </w:p>
                              </w:tc>
                              <w:tc>
                                <w:tcPr>
                                  <w:tcW w:w="75" w:type="dxa"/>
                                  <w:tcBorders/>
                                  <w:vAlign w:val="center"/>
                                </w:tcPr>
                                <w:p>
                                  <w:pPr>
                                    <w:pStyle w:val="TableContents"/>
                                    <w:bidi w:val="0"/>
                                    <w:spacing w:before="0" w:after="283"/>
                                    <w:jc w:val="left"/>
                                    <w:rPr>
                                      <w:color w:val="1070B8"/>
                                    </w:rPr>
                                  </w:pPr>
                                  <w:r>
                                    <w:rPr>
                                      <w:color w:val="1070B8"/>
                                    </w:rPr>
                                    <w:t> </w:t>
                                  </w:r>
                                </w:p>
                              </w:tc>
                            </w:tr>
                            <w:tr>
                              <w:trPr/>
                              <w:tc>
                                <w:tcPr>
                                  <w:tcW w:w="9750" w:type="dxa"/>
                                  <w:tcBorders/>
                                  <w:vAlign w:val="center"/>
                                </w:tcPr>
                                <w:p>
                                  <w:pPr>
                                    <w:pStyle w:val="TableContents"/>
                                    <w:bidi w:val="0"/>
                                    <w:spacing w:before="0" w:after="283"/>
                                    <w:jc w:val="left"/>
                                    <w:rPr/>
                                  </w:pPr>
                                  <w:hyperlink w:anchor="toc849638_13">
                                    <w:r>
                                      <w:rPr>
                                        <w:rStyle w:val="InternetLink"/>
                                      </w:rPr>
                                      <w:t>O</w:t>
                                    </w:r>
                                  </w:hyperlink>
                                  <w:hyperlink w:anchor="toc849638_13">
                                    <w:r>
                                      <w:rPr>
                                        <w:rStyle w:val="InternetLink"/>
                                        <w:sz w:val="20"/>
                                        <w:u w:val="single"/>
                                      </w:rPr>
                                      <w:t>VERVIEW</w:t>
                                    </w:r>
                                  </w:hyperlink>
                                  <w:hyperlink w:anchor="toc849638_13">
                                    <w:r>
                                      <w:rPr>
                                        <w:rStyle w:val="InternetLink"/>
                                      </w:rPr>
                                      <w:t xml:space="preserve"> </w:t>
                                    </w:r>
                                  </w:hyperlink>
                                  <w:hyperlink w:anchor="toc849638_13">
                                    <w:r>
                                      <w:rPr>
                                        <w:rStyle w:val="InternetLink"/>
                                        <w:sz w:val="20"/>
                                        <w:u w:val="single"/>
                                      </w:rPr>
                                      <w:t>OF</w:t>
                                    </w:r>
                                  </w:hyperlink>
                                  <w:hyperlink w:anchor="toc849638_13">
                                    <w:r>
                                      <w:rPr>
                                        <w:rStyle w:val="InternetLink"/>
                                      </w:rPr>
                                      <w:t xml:space="preserve"> </w:t>
                                    </w:r>
                                  </w:hyperlink>
                                  <w:hyperlink w:anchor="toc849638_13">
                                    <w:r>
                                      <w:rPr>
                                        <w:rStyle w:val="InternetLink"/>
                                        <w:sz w:val="20"/>
                                        <w:u w:val="single"/>
                                      </w:rPr>
                                      <w:t>THE</w:t>
                                    </w:r>
                                  </w:hyperlink>
                                  <w:hyperlink w:anchor="toc849638_13">
                                    <w:r>
                                      <w:rPr>
                                        <w:rStyle w:val="InternetLink"/>
                                      </w:rPr>
                                      <w:t xml:space="preserve"> B</w:t>
                                    </w:r>
                                  </w:hyperlink>
                                  <w:hyperlink w:anchor="toc849638_13">
                                    <w:r>
                                      <w:rPr>
                                        <w:rStyle w:val="InternetLink"/>
                                        <w:sz w:val="20"/>
                                        <w:u w:val="single"/>
                                      </w:rPr>
                                      <w:t>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4">
                                    <w:r>
                                      <w:rPr>
                                        <w:rStyle w:val="InternetLink"/>
                                      </w:rPr>
                                      <w:t>D</w:t>
                                    </w:r>
                                  </w:hyperlink>
                                  <w:hyperlink w:anchor="toc849638_14">
                                    <w:r>
                                      <w:rPr>
                                        <w:rStyle w:val="InternetLink"/>
                                        <w:sz w:val="20"/>
                                        <w:u w:val="single"/>
                                      </w:rPr>
                                      <w:t>IRECTOR</w:t>
                                    </w:r>
                                  </w:hyperlink>
                                  <w:hyperlink w:anchor="toc849638_14">
                                    <w:r>
                                      <w:rPr>
                                        <w:rStyle w:val="InternetLink"/>
                                      </w:rPr>
                                      <w:t xml:space="preserve"> Q</w:t>
                                    </w:r>
                                  </w:hyperlink>
                                  <w:hyperlink w:anchor="toc849638_14">
                                    <w:r>
                                      <w:rPr>
                                        <w:rStyle w:val="InternetLink"/>
                                        <w:sz w:val="20"/>
                                        <w:u w:val="single"/>
                                      </w:rPr>
                                      <w:t>UALIFICATIONS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5">
                                    <w:r>
                                      <w:rPr>
                                        <w:rStyle w:val="InternetLink"/>
                                      </w:rPr>
                                      <w:t>B</w:t>
                                    </w:r>
                                  </w:hyperlink>
                                  <w:hyperlink w:anchor="toc849638_15">
                                    <w:r>
                                      <w:rPr>
                                        <w:rStyle w:val="InternetLink"/>
                                        <w:sz w:val="20"/>
                                        <w:u w:val="single"/>
                                      </w:rPr>
                                      <w:t>OARD</w:t>
                                    </w:r>
                                  </w:hyperlink>
                                  <w:hyperlink w:anchor="toc849638_15">
                                    <w:r>
                                      <w:rPr>
                                        <w:rStyle w:val="InternetLink"/>
                                      </w:rPr>
                                      <w:t xml:space="preserve"> S</w:t>
                                    </w:r>
                                  </w:hyperlink>
                                  <w:hyperlink w:anchor="toc849638_15">
                                    <w:r>
                                      <w:rPr>
                                        <w:rStyle w:val="InternetLink"/>
                                        <w:sz w:val="20"/>
                                        <w:u w:val="single"/>
                                      </w:rPr>
                                      <w:t>KILL</w:t>
                                    </w:r>
                                  </w:hyperlink>
                                  <w:hyperlink w:anchor="toc849638_15">
                                    <w:r>
                                      <w:rPr>
                                        <w:rStyle w:val="InternetLink"/>
                                      </w:rPr>
                                      <w:t xml:space="preserve"> M</w:t>
                                    </w:r>
                                  </w:hyperlink>
                                  <w:hyperlink w:anchor="toc849638_15">
                                    <w:r>
                                      <w:rPr>
                                        <w:rStyle w:val="InternetLink"/>
                                        <w:sz w:val="20"/>
                                        <w:u w:val="single"/>
                                      </w:rPr>
                                      <w:t>ATRIX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7">
                                    <w:r>
                                      <w:rPr>
                                        <w:rStyle w:val="InternetLink"/>
                                      </w:rPr>
                                      <w:t>B</w:t>
                                    </w:r>
                                  </w:hyperlink>
                                  <w:hyperlink w:anchor="toc849638_17">
                                    <w:r>
                                      <w:rPr>
                                        <w:rStyle w:val="InternetLink"/>
                                        <w:sz w:val="20"/>
                                        <w:u w:val="single"/>
                                      </w:rPr>
                                      <w:t>OARD</w:t>
                                    </w:r>
                                  </w:hyperlink>
                                  <w:hyperlink w:anchor="toc849638_17">
                                    <w:r>
                                      <w:rPr>
                                        <w:rStyle w:val="InternetLink"/>
                                      </w:rPr>
                                      <w:t xml:space="preserve"> C</w:t>
                                    </w:r>
                                  </w:hyperlink>
                                  <w:hyperlink w:anchor="toc849638_17">
                                    <w:r>
                                      <w:rPr>
                                        <w:rStyle w:val="InternetLink"/>
                                        <w:sz w:val="20"/>
                                        <w:u w:val="single"/>
                                      </w:rPr>
                                      <w:t>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8">
                                    <w:r>
                                      <w:rPr>
                                        <w:rStyle w:val="InternetLink"/>
                                      </w:rPr>
                                      <w:t>D</w:t>
                                    </w:r>
                                  </w:hyperlink>
                                  <w:hyperlink w:anchor="toc849638_18">
                                    <w:r>
                                      <w:rPr>
                                        <w:rStyle w:val="InternetLink"/>
                                        <w:sz w:val="20"/>
                                        <w:u w:val="single"/>
                                      </w:rPr>
                                      <w:t>IRECTOR</w:t>
                                    </w:r>
                                  </w:hyperlink>
                                  <w:hyperlink w:anchor="toc849638_18">
                                    <w:r>
                                      <w:rPr>
                                        <w:rStyle w:val="InternetLink"/>
                                      </w:rPr>
                                      <w:t xml:space="preserve"> S</w:t>
                                    </w:r>
                                  </w:hyperlink>
                                  <w:hyperlink w:anchor="toc849638_18">
                                    <w:r>
                                      <w:rPr>
                                        <w:rStyle w:val="InternetLink"/>
                                        <w:sz w:val="20"/>
                                        <w:u w:val="single"/>
                                      </w:rPr>
                                      <w:t>KILLS</w:t>
                                    </w:r>
                                  </w:hyperlink>
                                  <w:hyperlink w:anchor="toc849638_18">
                                    <w:r>
                                      <w:rPr>
                                        <w:rStyle w:val="InternetLink"/>
                                      </w:rPr>
                                      <w:t>, E</w:t>
                                    </w:r>
                                  </w:hyperlink>
                                  <w:hyperlink w:anchor="toc849638_18">
                                    <w:r>
                                      <w:rPr>
                                        <w:rStyle w:val="InternetLink"/>
                                        <w:sz w:val="20"/>
                                        <w:u w:val="single"/>
                                      </w:rPr>
                                      <w:t>XPERIENCE</w:t>
                                    </w:r>
                                  </w:hyperlink>
                                  <w:hyperlink w:anchor="toc849638_18">
                                    <w:r>
                                      <w:rPr>
                                        <w:rStyle w:val="InternetLink"/>
                                      </w:rPr>
                                      <w:t xml:space="preserve"> </w:t>
                                    </w:r>
                                  </w:hyperlink>
                                  <w:hyperlink w:anchor="toc849638_18">
                                    <w:r>
                                      <w:rPr>
                                        <w:rStyle w:val="InternetLink"/>
                                        <w:sz w:val="20"/>
                                        <w:u w:val="single"/>
                                      </w:rPr>
                                      <w:t>AND</w:t>
                                    </w:r>
                                  </w:hyperlink>
                                  <w:hyperlink w:anchor="toc849638_18">
                                    <w:r>
                                      <w:rPr>
                                        <w:rStyle w:val="InternetLink"/>
                                      </w:rPr>
                                      <w:t xml:space="preserve"> B</w:t>
                                    </w:r>
                                  </w:hyperlink>
                                  <w:hyperlink w:anchor="toc849638_18">
                                    <w:r>
                                      <w:rPr>
                                        <w:rStyle w:val="InternetLink"/>
                                        <w:sz w:val="20"/>
                                        <w:u w:val="single"/>
                                      </w:rPr>
                                      <w:t>ACKGROUND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9">
                                    <w:r>
                                      <w:rPr>
                                        <w:rStyle w:val="InternetLink"/>
                                      </w:rPr>
                                      <w:t>D</w:t>
                                    </w:r>
                                  </w:hyperlink>
                                  <w:hyperlink w:anchor="toc849638_19">
                                    <w:r>
                                      <w:rPr>
                                        <w:rStyle w:val="InternetLink"/>
                                        <w:sz w:val="20"/>
                                        <w:u w:val="single"/>
                                      </w:rPr>
                                      <w:t>IRECTOR</w:t>
                                    </w:r>
                                  </w:hyperlink>
                                  <w:hyperlink w:anchor="toc849638_19">
                                    <w:r>
                                      <w:rPr>
                                        <w:rStyle w:val="InternetLink"/>
                                      </w:rPr>
                                      <w:t xml:space="preserve"> C</w:t>
                                    </w:r>
                                  </w:hyperlink>
                                  <w:hyperlink w:anchor="toc849638_19">
                                    <w:r>
                                      <w:rPr>
                                        <w:rStyle w:val="InternetLink"/>
                                        <w:sz w:val="20"/>
                                        <w:u w:val="single"/>
                                      </w:rPr>
                                      <w:t>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0">
                                    <w:r>
                                      <w:rPr>
                                        <w:rStyle w:val="InternetLink"/>
                                      </w:rPr>
                                      <w:t>D</w:t>
                                    </w:r>
                                  </w:hyperlink>
                                  <w:hyperlink w:anchor="toc849638_20">
                                    <w:r>
                                      <w:rPr>
                                        <w:rStyle w:val="InternetLink"/>
                                        <w:sz w:val="20"/>
                                        <w:u w:val="single"/>
                                      </w:rPr>
                                      <w:t>IRECTOR</w:t>
                                    </w:r>
                                  </w:hyperlink>
                                  <w:hyperlink w:anchor="toc849638_20">
                                    <w:r>
                                      <w:rPr>
                                        <w:rStyle w:val="InternetLink"/>
                                      </w:rPr>
                                      <w:t xml:space="preserve"> C</w:t>
                                    </w:r>
                                  </w:hyperlink>
                                  <w:hyperlink w:anchor="toc849638_20">
                                    <w:r>
                                      <w:rPr>
                                        <w:rStyle w:val="InternetLink"/>
                                        <w:sz w:val="20"/>
                                        <w:u w:val="single"/>
                                      </w:rPr>
                                      <w:t>OMPENSATION</w:t>
                                    </w:r>
                                  </w:hyperlink>
                                  <w:hyperlink w:anchor="toc849638_20">
                                    <w:r>
                                      <w:rPr>
                                        <w:rStyle w:val="InternetLink"/>
                                      </w:rPr>
                                      <w:t xml:space="preserve"> T</w:t>
                                    </w:r>
                                  </w:hyperlink>
                                  <w:hyperlink w:anchor="toc849638_20">
                                    <w:r>
                                      <w:rPr>
                                        <w:rStyle w:val="InternetLink"/>
                                        <w:sz w:val="20"/>
                                        <w:u w:val="single"/>
                                      </w:rPr>
                                      <w: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1">
                                    <w:r>
                                      <w:rPr>
                                        <w:rStyle w:val="InternetLink"/>
                                      </w:rPr>
                                      <w:t>D</w:t>
                                    </w:r>
                                  </w:hyperlink>
                                  <w:hyperlink w:anchor="toc849638_21">
                                    <w:r>
                                      <w:rPr>
                                        <w:rStyle w:val="InternetLink"/>
                                        <w:sz w:val="20"/>
                                        <w:u w:val="single"/>
                                      </w:rPr>
                                      <w:t>IRECTOR</w:t>
                                    </w:r>
                                  </w:hyperlink>
                                  <w:hyperlink w:anchor="toc849638_21">
                                    <w:r>
                                      <w:rPr>
                                        <w:rStyle w:val="InternetLink"/>
                                      </w:rPr>
                                      <w:t xml:space="preserve"> S</w:t>
                                    </w:r>
                                  </w:hyperlink>
                                  <w:hyperlink w:anchor="toc849638_21">
                                    <w:r>
                                      <w:rPr>
                                        <w:rStyle w:val="InternetLink"/>
                                        <w:sz w:val="20"/>
                                        <w:u w:val="single"/>
                                      </w:rPr>
                                      <w:t>TOCK</w:t>
                                    </w:r>
                                  </w:hyperlink>
                                  <w:hyperlink w:anchor="toc849638_21">
                                    <w:r>
                                      <w:rPr>
                                        <w:rStyle w:val="InternetLink"/>
                                      </w:rPr>
                                      <w:t xml:space="preserve"> O</w:t>
                                    </w:r>
                                  </w:hyperlink>
                                  <w:hyperlink w:anchor="toc849638_21">
                                    <w:r>
                                      <w:rPr>
                                        <w:rStyle w:val="InternetLink"/>
                                        <w:sz w:val="20"/>
                                        <w:u w:val="single"/>
                                      </w:rPr>
                                      <w:t>WNERSHIP</w:t>
                                    </w:r>
                                  </w:hyperlink>
                                  <w:hyperlink w:anchor="toc849638_21">
                                    <w:r>
                                      <w:rPr>
                                        <w:rStyle w:val="InternetLink"/>
                                      </w:rPr>
                                      <w:t xml:space="preserve"> P</w:t>
                                    </w:r>
                                  </w:hyperlink>
                                  <w:hyperlink w:anchor="toc849638_21">
                                    <w:r>
                                      <w:rPr>
                                        <w:rStyle w:val="InternetLink"/>
                                        <w:sz w:val="20"/>
                                        <w:u w:val="single"/>
                                      </w:rPr>
                                      <w:t>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2">
                                    <w:r>
                                      <w:rPr>
                                        <w:rStyle w:val="InternetLink"/>
                                      </w:rPr>
                                      <w:t>R</w:t>
                                    </w:r>
                                  </w:hyperlink>
                                  <w:hyperlink w:anchor="toc849638_22">
                                    <w:r>
                                      <w:rPr>
                                        <w:rStyle w:val="InternetLink"/>
                                        <w:sz w:val="20"/>
                                        <w:u w:val="single"/>
                                      </w:rPr>
                                      <w:t>EQUIRED</w:t>
                                    </w:r>
                                  </w:hyperlink>
                                  <w:hyperlink w:anchor="toc849638_22">
                                    <w:r>
                                      <w:rPr>
                                        <w:rStyle w:val="InternetLink"/>
                                      </w:rPr>
                                      <w:t xml:space="preserve"> V</w:t>
                                    </w:r>
                                  </w:hyperlink>
                                  <w:hyperlink w:anchor="toc849638_22">
                                    <w:r>
                                      <w:rPr>
                                        <w:rStyle w:val="InternetLink"/>
                                        <w:sz w:val="20"/>
                                        <w:u w:val="single"/>
                                      </w:rPr>
                                      <w:t>OTE</w:t>
                                    </w:r>
                                  </w:hyperlink>
                                  <w:hyperlink w:anchor="toc849638_22">
                                    <w:r>
                                      <w:rPr>
                                        <w:rStyle w:val="InternetLink"/>
                                      </w:rPr>
                                      <w:t xml:space="preserve"> </w:t>
                                    </w:r>
                                  </w:hyperlink>
                                  <w:hyperlink w:anchor="toc849638_22">
                                    <w:r>
                                      <w:rPr>
                                        <w:rStyle w:val="InternetLink"/>
                                        <w:sz w:val="20"/>
                                        <w:u w:val="single"/>
                                      </w:rPr>
                                      <w:t>AND</w:t>
                                    </w:r>
                                  </w:hyperlink>
                                  <w:hyperlink w:anchor="toc849638_22">
                                    <w:r>
                                      <w:rPr>
                                        <w:rStyle w:val="InternetLink"/>
                                      </w:rPr>
                                      <w:t xml:space="preserve"> R</w:t>
                                    </w:r>
                                  </w:hyperlink>
                                  <w:hyperlink w:anchor="toc849638_22">
                                    <w:r>
                                      <w:rPr>
                                        <w:rStyle w:val="InternetLink"/>
                                        <w:sz w:val="20"/>
                                        <w:u w:val="single"/>
                                      </w:rPr>
                                      <w:t>ECOMMENDATION</w:t>
                                    </w:r>
                                  </w:hyperlink>
                                  <w:hyperlink w:anchor="toc849638_22">
                                    <w:r>
                                      <w:rPr>
                                        <w:rStyle w:val="InternetLink"/>
                                      </w:rPr>
                                      <w:t xml:space="preserve"> </w:t>
                                    </w:r>
                                  </w:hyperlink>
                                  <w:hyperlink w:anchor="toc849638_22">
                                    <w:r>
                                      <w:rPr>
                                        <w:rStyle w:val="InternetLink"/>
                                        <w:sz w:val="20"/>
                                        <w:u w:val="single"/>
                                      </w:rPr>
                                      <w:t>OF</w:t>
                                    </w:r>
                                  </w:hyperlink>
                                  <w:hyperlink w:anchor="toc849638_22">
                                    <w:r>
                                      <w:rPr>
                                        <w:rStyle w:val="InternetLink"/>
                                      </w:rPr>
                                      <w:t xml:space="preserve"> </w:t>
                                    </w:r>
                                  </w:hyperlink>
                                  <w:hyperlink w:anchor="toc849638_22">
                                    <w:r>
                                      <w:rPr>
                                        <w:rStyle w:val="InternetLink"/>
                                        <w:sz w:val="20"/>
                                        <w:u w:val="single"/>
                                      </w:rPr>
                                      <w:t>THE</w:t>
                                    </w:r>
                                  </w:hyperlink>
                                  <w:hyperlink w:anchor="toc849638_22">
                                    <w:r>
                                      <w:rPr>
                                        <w:rStyle w:val="InternetLink"/>
                                      </w:rPr>
                                      <w:t xml:space="preserve"> B</w:t>
                                    </w:r>
                                  </w:hyperlink>
                                  <w:hyperlink w:anchor="toc849638_22">
                                    <w:r>
                                      <w:rPr>
                                        <w:rStyle w:val="InternetLink"/>
                                        <w:sz w:val="20"/>
                                        <w:u w:val="single"/>
                                      </w:rPr>
                                      <w:t>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3">
                                    <w:r>
                                      <w:rPr>
                                        <w:rStyle w:val="InternetLink"/>
                                        <w:b/>
                                        <w:color w:val="1070B8"/>
                                      </w:rPr>
                                      <w:t>CORPORATE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23</w:t>
                                  </w:r>
                                </w:p>
                              </w:tc>
                              <w:tc>
                                <w:tcPr>
                                  <w:tcW w:w="75" w:type="dxa"/>
                                  <w:tcBorders/>
                                  <w:vAlign w:val="center"/>
                                </w:tcPr>
                                <w:p>
                                  <w:pPr>
                                    <w:pStyle w:val="TableContents"/>
                                    <w:bidi w:val="0"/>
                                    <w:spacing w:before="0" w:after="283"/>
                                    <w:jc w:val="left"/>
                                    <w:rPr>
                                      <w:color w:val="1070B8"/>
                                    </w:rPr>
                                  </w:pPr>
                                  <w:r>
                                    <w:rPr>
                                      <w:color w:val="1070B8"/>
                                    </w:rPr>
                                    <w:t> </w:t>
                                  </w:r>
                                </w:p>
                              </w:tc>
                            </w:tr>
                            <w:tr>
                              <w:trPr/>
                              <w:tc>
                                <w:tcPr>
                                  <w:tcW w:w="9750" w:type="dxa"/>
                                  <w:tcBorders/>
                                  <w:vAlign w:val="center"/>
                                </w:tcPr>
                                <w:p>
                                  <w:pPr>
                                    <w:pStyle w:val="TableContents"/>
                                    <w:bidi w:val="0"/>
                                    <w:spacing w:before="0" w:after="283"/>
                                    <w:jc w:val="left"/>
                                    <w:rPr/>
                                  </w:pPr>
                                  <w:hyperlink w:anchor="toc849638_24">
                                    <w:r>
                                      <w:rPr>
                                        <w:rStyle w:val="InternetLink"/>
                                      </w:rPr>
                                      <w:t>C</w:t>
                                    </w:r>
                                  </w:hyperlink>
                                  <w:hyperlink w:anchor="toc849638_24">
                                    <w:r>
                                      <w:rPr>
                                        <w:rStyle w:val="InternetLink"/>
                                        <w:sz w:val="20"/>
                                        <w:u w:val="single"/>
                                      </w:rPr>
                                      <w:t>ORPORATE</w:t>
                                    </w:r>
                                  </w:hyperlink>
                                  <w:hyperlink w:anchor="toc849638_24">
                                    <w:r>
                                      <w:rPr>
                                        <w:rStyle w:val="InternetLink"/>
                                      </w:rPr>
                                      <w:t xml:space="preserve"> G</w:t>
                                    </w:r>
                                  </w:hyperlink>
                                  <w:hyperlink w:anchor="toc849638_24">
                                    <w:r>
                                      <w:rPr>
                                        <w:rStyle w:val="InternetLink"/>
                                        <w:sz w:val="20"/>
                                        <w:u w:val="single"/>
                                      </w:rPr>
                                      <w:t>OVERNANCE</w:t>
                                    </w:r>
                                  </w:hyperlink>
                                  <w:hyperlink w:anchor="toc849638_24">
                                    <w:r>
                                      <w:rPr>
                                        <w:rStyle w:val="InternetLink"/>
                                      </w:rPr>
                                      <w:t xml:space="preserve"> H</w:t>
                                    </w:r>
                                  </w:hyperlink>
                                  <w:hyperlink w:anchor="toc849638_24">
                                    <w:r>
                                      <w:rPr>
                                        <w:rStyle w:val="InternetLink"/>
                                        <w:sz w:val="20"/>
                                        <w:u w:val="single"/>
                                      </w:rPr>
                                      <w:t>IGHLIGHTS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5">
                                    <w:r>
                                      <w:rPr>
                                        <w:rStyle w:val="InternetLink"/>
                                      </w:rPr>
                                      <w:t>B</w:t>
                                    </w:r>
                                  </w:hyperlink>
                                  <w:hyperlink w:anchor="toc849638_25">
                                    <w:r>
                                      <w:rPr>
                                        <w:rStyle w:val="InternetLink"/>
                                        <w:sz w:val="20"/>
                                        <w:u w:val="single"/>
                                      </w:rPr>
                                      <w:t>OARD</w:t>
                                    </w:r>
                                  </w:hyperlink>
                                  <w:hyperlink w:anchor="toc849638_25">
                                    <w:r>
                                      <w:rPr>
                                        <w:rStyle w:val="InternetLink"/>
                                      </w:rPr>
                                      <w:t xml:space="preserve"> S</w:t>
                                    </w:r>
                                  </w:hyperlink>
                                  <w:hyperlink w:anchor="toc849638_25">
                                    <w:r>
                                      <w:rPr>
                                        <w:rStyle w:val="InternetLink"/>
                                        <w:sz w:val="20"/>
                                        <w:u w:val="single"/>
                                      </w:rPr>
                                      <w:t>TRUCTURE</w:t>
                                    </w:r>
                                  </w:hyperlink>
                                  <w:hyperlink w:anchor="toc849638_25">
                                    <w:r>
                                      <w:rPr>
                                        <w:rStyle w:val="InternetLink"/>
                                      </w:rPr>
                                      <w:t xml:space="preserve"> </w:t>
                                    </w:r>
                                  </w:hyperlink>
                                  <w:hyperlink w:anchor="toc849638_25">
                                    <w:r>
                                      <w:rPr>
                                        <w:rStyle w:val="InternetLink"/>
                                        <w:sz w:val="20"/>
                                        <w:u w:val="single"/>
                                      </w:rPr>
                                      <w:t>AND</w:t>
                                    </w:r>
                                  </w:hyperlink>
                                  <w:hyperlink w:anchor="toc849638_25">
                                    <w:r>
                                      <w:rPr>
                                        <w:rStyle w:val="InternetLink"/>
                                      </w:rPr>
                                      <w:t xml:space="preserve"> R</w:t>
                                    </w:r>
                                  </w:hyperlink>
                                  <w:hyperlink w:anchor="toc849638_25">
                                    <w:r>
                                      <w:rPr>
                                        <w:rStyle w:val="InternetLink"/>
                                        <w:sz w:val="20"/>
                                        <w:u w:val="single"/>
                                      </w:rPr>
                                      <w:t>ESPONSIBILITIES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6">
                                    <w:r>
                                      <w:rPr>
                                        <w:rStyle w:val="InternetLink"/>
                                      </w:rPr>
                                      <w:t>B</w:t>
                                    </w:r>
                                  </w:hyperlink>
                                  <w:hyperlink w:anchor="toc849638_26">
                                    <w:r>
                                      <w:rPr>
                                        <w:rStyle w:val="InternetLink"/>
                                        <w:sz w:val="20"/>
                                        <w:u w:val="single"/>
                                      </w:rPr>
                                      <w:t>OARD</w:t>
                                    </w:r>
                                  </w:hyperlink>
                                  <w:hyperlink w:anchor="toc849638_26">
                                    <w:r>
                                      <w:rPr>
                                        <w:rStyle w:val="InternetLink"/>
                                      </w:rPr>
                                      <w:t xml:space="preserve"> L</w:t>
                                    </w:r>
                                  </w:hyperlink>
                                  <w:hyperlink w:anchor="toc849638_26">
                                    <w:r>
                                      <w:rPr>
                                        <w:rStyle w:val="InternetLink"/>
                                        <w:sz w:val="20"/>
                                        <w:u w:val="single"/>
                                      </w:rPr>
                                      <w:t>EADERSHIP</w:t>
                                    </w:r>
                                  </w:hyperlink>
                                  <w:hyperlink w:anchor="toc849638_26">
                                    <w:r>
                                      <w:rPr>
                                        <w:rStyle w:val="InternetLink"/>
                                      </w:rPr>
                                      <w:t xml:space="preserve"> S</w:t>
                                    </w:r>
                                  </w:hyperlink>
                                  <w:hyperlink w:anchor="toc849638_26">
                                    <w:r>
                                      <w:rPr>
                                        <w:rStyle w:val="InternetLink"/>
                                        <w:sz w:val="20"/>
                                        <w:u w:val="single"/>
                                      </w:rPr>
                                      <w:t>TRUCTURE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7">
                                    <w:r>
                                      <w:rPr>
                                        <w:rStyle w:val="InternetLink"/>
                                      </w:rPr>
                                      <w:t>C</w:t>
                                    </w:r>
                                  </w:hyperlink>
                                  <w:hyperlink w:anchor="toc849638_27">
                                    <w:r>
                                      <w:rPr>
                                        <w:rStyle w:val="InternetLink"/>
                                        <w:sz w:val="20"/>
                                        <w:u w:val="single"/>
                                      </w:rPr>
                                      <w:t>ORPORATE</w:t>
                                    </w:r>
                                  </w:hyperlink>
                                  <w:hyperlink w:anchor="toc849638_27">
                                    <w:r>
                                      <w:rPr>
                                        <w:rStyle w:val="InternetLink"/>
                                      </w:rPr>
                                      <w:t xml:space="preserve"> G</w:t>
                                    </w:r>
                                  </w:hyperlink>
                                  <w:hyperlink w:anchor="toc849638_27">
                                    <w:r>
                                      <w:rPr>
                                        <w:rStyle w:val="InternetLink"/>
                                        <w:sz w:val="20"/>
                                        <w:u w:val="single"/>
                                      </w:rPr>
                                      <w:t>OVERNANCE</w:t>
                                    </w:r>
                                  </w:hyperlink>
                                  <w:hyperlink w:anchor="toc849638_27">
                                    <w:r>
                                      <w:rPr>
                                        <w:rStyle w:val="InternetLink"/>
                                      </w:rPr>
                                      <w:t xml:space="preserve"> G</w:t>
                                    </w:r>
                                  </w:hyperlink>
                                  <w:hyperlink w:anchor="toc849638_27">
                                    <w:r>
                                      <w:rPr>
                                        <w:rStyle w:val="InternetLink"/>
                                        <w:sz w:val="20"/>
                                        <w:u w:val="single"/>
                                      </w:rPr>
                                      <w:t>UIDELINES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8">
                                    <w:r>
                                      <w:rPr>
                                        <w:rStyle w:val="InternetLink"/>
                                      </w:rPr>
                                      <w:t>S</w:t>
                                    </w:r>
                                  </w:hyperlink>
                                  <w:hyperlink w:anchor="toc849638_28">
                                    <w:r>
                                      <w:rPr>
                                        <w:rStyle w:val="InternetLink"/>
                                        <w:sz w:val="20"/>
                                        <w:u w:val="single"/>
                                      </w:rPr>
                                      <w:t>UCCESSION</w:t>
                                    </w:r>
                                  </w:hyperlink>
                                  <w:hyperlink w:anchor="toc849638_28">
                                    <w:r>
                                      <w:rPr>
                                        <w:rStyle w:val="InternetLink"/>
                                      </w:rPr>
                                      <w:t xml:space="preserve"> P</w:t>
                                    </w:r>
                                  </w:hyperlink>
                                  <w:hyperlink w:anchor="toc849638_28">
                                    <w:r>
                                      <w:rPr>
                                        <w:rStyle w:val="InternetLink"/>
                                        <w:sz w:val="20"/>
                                        <w:u w:val="single"/>
                                      </w:rPr>
                                      <w:t>LANNING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9">
                                    <w:r>
                                      <w:rPr>
                                        <w:rStyle w:val="InternetLink"/>
                                      </w:rPr>
                                      <w:t>R</w:t>
                                    </w:r>
                                  </w:hyperlink>
                                  <w:hyperlink w:anchor="toc849638_29">
                                    <w:r>
                                      <w:rPr>
                                        <w:rStyle w:val="InternetLink"/>
                                        <w:sz w:val="20"/>
                                        <w:u w:val="single"/>
                                      </w:rPr>
                                      <w:t>OLE</w:t>
                                    </w:r>
                                  </w:hyperlink>
                                  <w:hyperlink w:anchor="toc849638_29">
                                    <w:r>
                                      <w:rPr>
                                        <w:rStyle w:val="InternetLink"/>
                                      </w:rPr>
                                      <w:t xml:space="preserve"> </w:t>
                                    </w:r>
                                  </w:hyperlink>
                                  <w:hyperlink w:anchor="toc849638_29">
                                    <w:r>
                                      <w:rPr>
                                        <w:rStyle w:val="InternetLink"/>
                                        <w:sz w:val="20"/>
                                        <w:u w:val="single"/>
                                      </w:rPr>
                                      <w:t>OF</w:t>
                                    </w:r>
                                  </w:hyperlink>
                                  <w:hyperlink w:anchor="toc849638_29">
                                    <w:r>
                                      <w:rPr>
                                        <w:rStyle w:val="InternetLink"/>
                                      </w:rPr>
                                      <w:t xml:space="preserve"> </w:t>
                                    </w:r>
                                  </w:hyperlink>
                                  <w:hyperlink w:anchor="toc849638_29">
                                    <w:r>
                                      <w:rPr>
                                        <w:rStyle w:val="InternetLink"/>
                                        <w:sz w:val="20"/>
                                        <w:u w:val="single"/>
                                      </w:rPr>
                                      <w:t>THE</w:t>
                                    </w:r>
                                  </w:hyperlink>
                                  <w:hyperlink w:anchor="toc849638_29">
                                    <w:r>
                                      <w:rPr>
                                        <w:rStyle w:val="InternetLink"/>
                                      </w:rPr>
                                      <w:t xml:space="preserve"> B</w:t>
                                    </w:r>
                                  </w:hyperlink>
                                  <w:hyperlink w:anchor="toc849638_29">
                                    <w:r>
                                      <w:rPr>
                                        <w:rStyle w:val="InternetLink"/>
                                        <w:sz w:val="20"/>
                                        <w:u w:val="single"/>
                                      </w:rPr>
                                      <w:t>OARD</w:t>
                                    </w:r>
                                  </w:hyperlink>
                                  <w:hyperlink w:anchor="toc849638_29">
                                    <w:r>
                                      <w:rPr>
                                        <w:rStyle w:val="InternetLink"/>
                                      </w:rPr>
                                      <w:t xml:space="preserve"> </w:t>
                                    </w:r>
                                  </w:hyperlink>
                                  <w:hyperlink w:anchor="toc849638_29">
                                    <w:r>
                                      <w:rPr>
                                        <w:rStyle w:val="InternetLink"/>
                                        <w:sz w:val="20"/>
                                        <w:u w:val="single"/>
                                      </w:rPr>
                                      <w:t>IN</w:t>
                                    </w:r>
                                  </w:hyperlink>
                                  <w:hyperlink w:anchor="toc849638_29">
                                    <w:r>
                                      <w:rPr>
                                        <w:rStyle w:val="InternetLink"/>
                                      </w:rPr>
                                      <w:t xml:space="preserve"> R</w:t>
                                    </w:r>
                                  </w:hyperlink>
                                  <w:hyperlink w:anchor="toc849638_29">
                                    <w:r>
                                      <w:rPr>
                                        <w:rStyle w:val="InternetLink"/>
                                        <w:sz w:val="20"/>
                                        <w:u w:val="single"/>
                                      </w:rPr>
                                      <w:t>ISK</w:t>
                                    </w:r>
                                  </w:hyperlink>
                                  <w:hyperlink w:anchor="toc849638_29">
                                    <w:r>
                                      <w:rPr>
                                        <w:rStyle w:val="InternetLink"/>
                                      </w:rPr>
                                      <w:t xml:space="preserve"> O</w:t>
                                    </w:r>
                                  </w:hyperlink>
                                  <w:hyperlink w:anchor="toc849638_29">
                                    <w:r>
                                      <w:rPr>
                                        <w:rStyle w:val="InternetLink"/>
                                        <w:sz w:val="20"/>
                                        <w:u w:val="single"/>
                                      </w:rPr>
                                      <w:t>VERSIGHT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0">
                                    <w:r>
                                      <w:rPr>
                                        <w:rStyle w:val="InternetLink"/>
                                      </w:rPr>
                                      <w:t>C</w:t>
                                    </w:r>
                                  </w:hyperlink>
                                  <w:hyperlink w:anchor="toc849638_30">
                                    <w:r>
                                      <w:rPr>
                                        <w:rStyle w:val="InternetLink"/>
                                        <w:sz w:val="20"/>
                                        <w:u w:val="single"/>
                                      </w:rPr>
                                      <w:t>YBERSECURITY</w:t>
                                    </w:r>
                                  </w:hyperlink>
                                  <w:hyperlink w:anchor="toc849638_30">
                                    <w:r>
                                      <w:rPr>
                                        <w:rStyle w:val="InternetLink"/>
                                      </w:rPr>
                                      <w:t xml:space="preserve"> O</w:t>
                                    </w:r>
                                  </w:hyperlink>
                                  <w:hyperlink w:anchor="toc849638_30">
                                    <w:r>
                                      <w:rPr>
                                        <w:rStyle w:val="InternetLink"/>
                                        <w:sz w:val="20"/>
                                        <w:u w:val="single"/>
                                      </w:rPr>
                                      <w:t>VERSIGHT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1">
                                    <w:r>
                                      <w:rPr>
                                        <w:rStyle w:val="InternetLink"/>
                                      </w:rPr>
                                      <w:t>C</w:t>
                                    </w:r>
                                  </w:hyperlink>
                                  <w:hyperlink w:anchor="toc849638_31">
                                    <w:r>
                                      <w:rPr>
                                        <w:rStyle w:val="InternetLink"/>
                                        <w:sz w:val="20"/>
                                        <w:u w:val="single"/>
                                      </w:rPr>
                                      <w:t>ORPORATE</w:t>
                                    </w:r>
                                  </w:hyperlink>
                                  <w:hyperlink w:anchor="toc849638_31">
                                    <w:r>
                                      <w:rPr>
                                        <w:rStyle w:val="InternetLink"/>
                                      </w:rPr>
                                      <w:t xml:space="preserve"> R</w:t>
                                    </w:r>
                                  </w:hyperlink>
                                  <w:hyperlink w:anchor="toc849638_31">
                                    <w:r>
                                      <w:rPr>
                                        <w:rStyle w:val="InternetLink"/>
                                        <w:sz w:val="20"/>
                                        <w:u w:val="single"/>
                                      </w:rPr>
                                      <w:t>ESPONSIBILITY</w:t>
                                    </w:r>
                                  </w:hyperlink>
                                  <w:hyperlink w:anchor="toc849638_31">
                                    <w:r>
                                      <w:rPr>
                                        <w:rStyle w:val="InternetLink"/>
                                      </w:rPr>
                                      <w:t xml:space="preserve"> O</w:t>
                                    </w:r>
                                  </w:hyperlink>
                                  <w:hyperlink w:anchor="toc849638_31">
                                    <w:r>
                                      <w:rPr>
                                        <w:rStyle w:val="InternetLink"/>
                                        <w:sz w:val="20"/>
                                        <w:u w:val="single"/>
                                      </w:rPr>
                                      <w:t>VERSIGHT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2">
                                    <w:r>
                                      <w:rPr>
                                        <w:rStyle w:val="InternetLink"/>
                                      </w:rPr>
                                      <w:t>B</w:t>
                                    </w:r>
                                  </w:hyperlink>
                                  <w:hyperlink w:anchor="toc849638_32">
                                    <w:r>
                                      <w:rPr>
                                        <w:rStyle w:val="InternetLink"/>
                                        <w:sz w:val="20"/>
                                        <w:u w:val="single"/>
                                      </w:rPr>
                                      <w:t>OARD</w:t>
                                    </w:r>
                                  </w:hyperlink>
                                  <w:hyperlink w:anchor="toc849638_32">
                                    <w:r>
                                      <w:rPr>
                                        <w:rStyle w:val="InternetLink"/>
                                      </w:rPr>
                                      <w:t xml:space="preserve"> C</w:t>
                                    </w:r>
                                  </w:hyperlink>
                                  <w:hyperlink w:anchor="toc849638_32">
                                    <w:r>
                                      <w:rPr>
                                        <w:rStyle w:val="InternetLink"/>
                                        <w:sz w:val="20"/>
                                        <w:u w:val="single"/>
                                      </w:rPr>
                                      <w:t>OMMITTEE</w:t>
                                    </w:r>
                                  </w:hyperlink>
                                  <w:hyperlink w:anchor="toc849638_32">
                                    <w:r>
                                      <w:rPr>
                                        <w:rStyle w:val="InternetLink"/>
                                      </w:rPr>
                                      <w:t xml:space="preserve"> O</w:t>
                                    </w:r>
                                  </w:hyperlink>
                                  <w:hyperlink w:anchor="toc849638_32">
                                    <w:r>
                                      <w:rPr>
                                        <w:rStyle w:val="InternetLink"/>
                                        <w:sz w:val="20"/>
                                        <w:u w:val="single"/>
                                      </w:rPr>
                                      <w:t>VERSIGHT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3">
                                    <w:r>
                                      <w:rPr>
                                        <w:rStyle w:val="InternetLink"/>
                                      </w:rPr>
                                      <w:t>D</w:t>
                                    </w:r>
                                  </w:hyperlink>
                                  <w:hyperlink w:anchor="toc849638_33">
                                    <w:r>
                                      <w:rPr>
                                        <w:rStyle w:val="InternetLink"/>
                                        <w:sz w:val="20"/>
                                        <w:u w:val="single"/>
                                      </w:rPr>
                                      <w:t>IRECTOR</w:t>
                                    </w:r>
                                  </w:hyperlink>
                                  <w:hyperlink w:anchor="toc849638_33">
                                    <w:r>
                                      <w:rPr>
                                        <w:rStyle w:val="InternetLink"/>
                                      </w:rPr>
                                      <w:t xml:space="preserve"> I</w:t>
                                    </w:r>
                                  </w:hyperlink>
                                  <w:hyperlink w:anchor="toc849638_33">
                                    <w:r>
                                      <w:rPr>
                                        <w:rStyle w:val="InternetLink"/>
                                        <w:sz w:val="20"/>
                                        <w:u w:val="single"/>
                                      </w:rPr>
                                      <w:t>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4">
                                    <w:r>
                                      <w:rPr>
                                        <w:rStyle w:val="InternetLink"/>
                                      </w:rPr>
                                      <w:t>A</w:t>
                                    </w:r>
                                  </w:hyperlink>
                                  <w:hyperlink w:anchor="toc849638_34">
                                    <w:r>
                                      <w:rPr>
                                        <w:rStyle w:val="InternetLink"/>
                                        <w:sz w:val="20"/>
                                        <w:u w:val="single"/>
                                      </w:rPr>
                                      <w:t>NNUAL</w:t>
                                    </w:r>
                                  </w:hyperlink>
                                  <w:hyperlink w:anchor="toc849638_34">
                                    <w:r>
                                      <w:rPr>
                                        <w:rStyle w:val="InternetLink"/>
                                      </w:rPr>
                                      <w:t xml:space="preserve"> B</w:t>
                                    </w:r>
                                  </w:hyperlink>
                                  <w:hyperlink w:anchor="toc849638_34">
                                    <w:r>
                                      <w:rPr>
                                        <w:rStyle w:val="InternetLink"/>
                                        <w:sz w:val="20"/>
                                        <w:u w:val="single"/>
                                      </w:rPr>
                                      <w:t>OARD</w:t>
                                    </w:r>
                                  </w:hyperlink>
                                  <w:hyperlink w:anchor="toc849638_34">
                                    <w:r>
                                      <w:rPr>
                                        <w:rStyle w:val="InternetLink"/>
                                      </w:rPr>
                                      <w:t xml:space="preserve"> </w:t>
                                    </w:r>
                                  </w:hyperlink>
                                  <w:hyperlink w:anchor="toc849638_34">
                                    <w:r>
                                      <w:rPr>
                                        <w:rStyle w:val="InternetLink"/>
                                        <w:sz w:val="20"/>
                                        <w:u w:val="single"/>
                                      </w:rPr>
                                      <w:t>AND</w:t>
                                    </w:r>
                                  </w:hyperlink>
                                  <w:hyperlink w:anchor="toc849638_34">
                                    <w:r>
                                      <w:rPr>
                                        <w:rStyle w:val="InternetLink"/>
                                      </w:rPr>
                                      <w:t xml:space="preserve"> C</w:t>
                                    </w:r>
                                  </w:hyperlink>
                                  <w:hyperlink w:anchor="toc849638_34">
                                    <w:r>
                                      <w:rPr>
                                        <w:rStyle w:val="InternetLink"/>
                                        <w:sz w:val="20"/>
                                        <w:u w:val="single"/>
                                      </w:rPr>
                                      <w:t>OMMITTEE</w:t>
                                    </w:r>
                                  </w:hyperlink>
                                  <w:hyperlink w:anchor="toc849638_34">
                                    <w:r>
                                      <w:rPr>
                                        <w:rStyle w:val="InternetLink"/>
                                      </w:rPr>
                                      <w:t xml:space="preserve"> S</w:t>
                                    </w:r>
                                  </w:hyperlink>
                                  <w:hyperlink w:anchor="toc849638_34">
                                    <w:r>
                                      <w:rPr>
                                        <w:rStyle w:val="InternetLink"/>
                                        <w:sz w:val="20"/>
                                        <w:u w:val="single"/>
                                      </w:rPr>
                                      <w:t>ELF</w:t>
                                    </w:r>
                                  </w:hyperlink>
                                  <w:hyperlink w:anchor="toc849638_34">
                                    <w:r>
                                      <w:rPr>
                                        <w:rStyle w:val="InternetLink"/>
                                      </w:rPr>
                                      <w:t>-A</w:t>
                                    </w:r>
                                  </w:hyperlink>
                                  <w:hyperlink w:anchor="toc849638_34">
                                    <w:r>
                                      <w:rPr>
                                        <w:rStyle w:val="InternetLink"/>
                                        <w:sz w:val="20"/>
                                        <w:u w:val="single"/>
                                      </w:rPr>
                                      <w:t>SSESSMENTS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5">
                                    <w:r>
                                      <w:rPr>
                                        <w:rStyle w:val="InternetLink"/>
                                      </w:rPr>
                                      <w:t>M</w:t>
                                    </w:r>
                                  </w:hyperlink>
                                  <w:hyperlink w:anchor="toc849638_35">
                                    <w:r>
                                      <w:rPr>
                                        <w:rStyle w:val="InternetLink"/>
                                        <w:sz w:val="20"/>
                                        <w:u w:val="single"/>
                                      </w:rPr>
                                      <w:t>EETINGS</w:t>
                                    </w:r>
                                  </w:hyperlink>
                                  <w:hyperlink w:anchor="toc849638_35">
                                    <w:r>
                                      <w:rPr>
                                        <w:rStyle w:val="InternetLink"/>
                                      </w:rPr>
                                      <w:t xml:space="preserve"> </w:t>
                                    </w:r>
                                  </w:hyperlink>
                                  <w:hyperlink w:anchor="toc849638_35">
                                    <w:r>
                                      <w:rPr>
                                        <w:rStyle w:val="InternetLink"/>
                                        <w:sz w:val="20"/>
                                        <w:u w:val="single"/>
                                      </w:rPr>
                                      <w:t>OF</w:t>
                                    </w:r>
                                  </w:hyperlink>
                                  <w:hyperlink w:anchor="toc849638_35">
                                    <w:r>
                                      <w:rPr>
                                        <w:rStyle w:val="InternetLink"/>
                                      </w:rPr>
                                      <w:t xml:space="preserve"> </w:t>
                                    </w:r>
                                  </w:hyperlink>
                                  <w:hyperlink w:anchor="toc849638_35">
                                    <w:r>
                                      <w:rPr>
                                        <w:rStyle w:val="InternetLink"/>
                                        <w:sz w:val="20"/>
                                        <w:u w:val="single"/>
                                      </w:rPr>
                                      <w:t>THE</w:t>
                                    </w:r>
                                  </w:hyperlink>
                                  <w:hyperlink w:anchor="toc849638_35">
                                    <w:r>
                                      <w:rPr>
                                        <w:rStyle w:val="InternetLink"/>
                                      </w:rPr>
                                      <w:t xml:space="preserve"> B</w:t>
                                    </w:r>
                                  </w:hyperlink>
                                  <w:hyperlink w:anchor="toc849638_35">
                                    <w:r>
                                      <w:rPr>
                                        <w:rStyle w:val="InternetLink"/>
                                        <w:sz w:val="20"/>
                                        <w:u w:val="single"/>
                                      </w:rPr>
                                      <w:t>OARD</w:t>
                                    </w:r>
                                  </w:hyperlink>
                                  <w:hyperlink w:anchor="toc849638_35">
                                    <w:r>
                                      <w:rPr>
                                        <w:rStyle w:val="InternetLink"/>
                                      </w:rPr>
                                      <w:t xml:space="preserve"> </w:t>
                                    </w:r>
                                  </w:hyperlink>
                                  <w:hyperlink w:anchor="toc849638_35">
                                    <w:r>
                                      <w:rPr>
                                        <w:rStyle w:val="InternetLink"/>
                                        <w:sz w:val="20"/>
                                        <w:u w:val="single"/>
                                      </w:rPr>
                                      <w:t>AND</w:t>
                                    </w:r>
                                  </w:hyperlink>
                                  <w:hyperlink w:anchor="toc849638_35">
                                    <w:r>
                                      <w:rPr>
                                        <w:rStyle w:val="InternetLink"/>
                                      </w:rPr>
                                      <w:t xml:space="preserve"> D</w:t>
                                    </w:r>
                                  </w:hyperlink>
                                  <w:hyperlink w:anchor="toc849638_35">
                                    <w:r>
                                      <w:rPr>
                                        <w:rStyle w:val="InternetLink"/>
                                        <w:sz w:val="20"/>
                                        <w:u w:val="single"/>
                                      </w:rPr>
                                      <w:t>IRECTOR</w:t>
                                    </w:r>
                                  </w:hyperlink>
                                  <w:hyperlink w:anchor="toc849638_35">
                                    <w:r>
                                      <w:rPr>
                                        <w:rStyle w:val="InternetLink"/>
                                      </w:rPr>
                                      <w:t xml:space="preserve"> A</w:t>
                                    </w:r>
                                  </w:hyperlink>
                                  <w:hyperlink w:anchor="toc849638_35">
                                    <w:r>
                                      <w:rPr>
                                        <w:rStyle w:val="InternetLink"/>
                                        <w:sz w:val="20"/>
                                        <w:u w:val="single"/>
                                      </w:rPr>
                                      <w:t>TTENDANCE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6">
                                    <w:r>
                                      <w:rPr>
                                        <w:rStyle w:val="InternetLink"/>
                                      </w:rPr>
                                      <w:t>E</w:t>
                                    </w:r>
                                  </w:hyperlink>
                                  <w:hyperlink w:anchor="toc849638_36">
                                    <w:r>
                                      <w:rPr>
                                        <w:rStyle w:val="InternetLink"/>
                                        <w:sz w:val="20"/>
                                        <w:u w:val="single"/>
                                      </w:rPr>
                                      <w:t>XECUTIVE</w:t>
                                    </w:r>
                                  </w:hyperlink>
                                  <w:hyperlink w:anchor="toc849638_36">
                                    <w:r>
                                      <w:rPr>
                                        <w:rStyle w:val="InternetLink"/>
                                      </w:rPr>
                                      <w:t xml:space="preserve"> S</w:t>
                                    </w:r>
                                  </w:hyperlink>
                                  <w:hyperlink w:anchor="toc849638_36">
                                    <w:r>
                                      <w:rPr>
                                        <w:rStyle w:val="InternetLink"/>
                                        <w:sz w:val="20"/>
                                        <w:u w:val="single"/>
                                      </w:rPr>
                                      <w:t>ESSIONS</w:t>
                                    </w:r>
                                  </w:hyperlink>
                                  <w:hyperlink w:anchor="toc849638_36">
                                    <w:r>
                                      <w:rPr>
                                        <w:rStyle w:val="InternetLink"/>
                                      </w:rPr>
                                      <w:t xml:space="preserve"> </w:t>
                                    </w:r>
                                  </w:hyperlink>
                                  <w:hyperlink w:anchor="toc849638_36">
                                    <w:r>
                                      <w:rPr>
                                        <w:rStyle w:val="InternetLink"/>
                                        <w:sz w:val="20"/>
                                        <w:u w:val="single"/>
                                      </w:rPr>
                                      <w:t>OF</w:t>
                                    </w:r>
                                  </w:hyperlink>
                                  <w:hyperlink w:anchor="toc849638_36">
                                    <w:r>
                                      <w:rPr>
                                        <w:rStyle w:val="InternetLink"/>
                                      </w:rPr>
                                      <w:t xml:space="preserve"> </w:t>
                                    </w:r>
                                  </w:hyperlink>
                                  <w:hyperlink w:anchor="toc849638_36">
                                    <w:r>
                                      <w:rPr>
                                        <w:rStyle w:val="InternetLink"/>
                                        <w:sz w:val="20"/>
                                        <w:u w:val="single"/>
                                      </w:rPr>
                                      <w:t>THE</w:t>
                                    </w:r>
                                  </w:hyperlink>
                                  <w:hyperlink w:anchor="toc849638_36">
                                    <w:r>
                                      <w:rPr>
                                        <w:rStyle w:val="InternetLink"/>
                                      </w:rPr>
                                      <w:t xml:space="preserve"> B</w:t>
                                    </w:r>
                                  </w:hyperlink>
                                  <w:hyperlink w:anchor="toc849638_36">
                                    <w:r>
                                      <w:rPr>
                                        <w:rStyle w:val="InternetLink"/>
                                        <w:sz w:val="20"/>
                                        <w:u w:val="single"/>
                                      </w:rPr>
                                      <w:t>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7">
                                    <w:r>
                                      <w:rPr>
                                        <w:rStyle w:val="InternetLink"/>
                                      </w:rPr>
                                      <w:t>C</w:t>
                                    </w:r>
                                  </w:hyperlink>
                                  <w:hyperlink w:anchor="toc849638_37">
                                    <w:r>
                                      <w:rPr>
                                        <w:rStyle w:val="InternetLink"/>
                                        <w:sz w:val="20"/>
                                        <w:u w:val="single"/>
                                      </w:rPr>
                                      <w:t>ODE</w:t>
                                    </w:r>
                                  </w:hyperlink>
                                  <w:hyperlink w:anchor="toc849638_37">
                                    <w:r>
                                      <w:rPr>
                                        <w:rStyle w:val="InternetLink"/>
                                      </w:rPr>
                                      <w:t xml:space="preserve"> </w:t>
                                    </w:r>
                                  </w:hyperlink>
                                  <w:hyperlink w:anchor="toc849638_37">
                                    <w:r>
                                      <w:rPr>
                                        <w:rStyle w:val="InternetLink"/>
                                        <w:sz w:val="20"/>
                                        <w:u w:val="single"/>
                                      </w:rPr>
                                      <w:t>OF</w:t>
                                    </w:r>
                                  </w:hyperlink>
                                  <w:hyperlink w:anchor="toc849638_37">
                                    <w:r>
                                      <w:rPr>
                                        <w:rStyle w:val="InternetLink"/>
                                      </w:rPr>
                                      <w:t xml:space="preserve"> B</w:t>
                                    </w:r>
                                  </w:hyperlink>
                                  <w:hyperlink w:anchor="toc849638_37">
                                    <w:r>
                                      <w:rPr>
                                        <w:rStyle w:val="InternetLink"/>
                                        <w:sz w:val="20"/>
                                        <w:u w:val="single"/>
                                      </w:rPr>
                                      <w:t>USINESS</w:t>
                                    </w:r>
                                  </w:hyperlink>
                                  <w:hyperlink w:anchor="toc849638_37">
                                    <w:r>
                                      <w:rPr>
                                        <w:rStyle w:val="InternetLink"/>
                                      </w:rPr>
                                      <w:t xml:space="preserve"> C</w:t>
                                    </w:r>
                                  </w:hyperlink>
                                  <w:hyperlink w:anchor="toc849638_37">
                                    <w:r>
                                      <w:rPr>
                                        <w:rStyle w:val="InternetLink"/>
                                        <w:sz w:val="20"/>
                                        <w:u w:val="single"/>
                                      </w:rPr>
                                      <w:t>ONDUCT</w:t>
                                    </w:r>
                                  </w:hyperlink>
                                  <w:hyperlink w:anchor="toc849638_37">
                                    <w:r>
                                      <w:rPr>
                                        <w:rStyle w:val="InternetLink"/>
                                      </w:rPr>
                                      <w:t xml:space="preserve"> </w:t>
                                    </w:r>
                                  </w:hyperlink>
                                  <w:hyperlink w:anchor="toc849638_37">
                                    <w:r>
                                      <w:rPr>
                                        <w:rStyle w:val="InternetLink"/>
                                        <w:sz w:val="20"/>
                                        <w:u w:val="single"/>
                                      </w:rPr>
                                      <w:t>AND</w:t>
                                    </w:r>
                                  </w:hyperlink>
                                  <w:hyperlink w:anchor="toc849638_37">
                                    <w:r>
                                      <w:rPr>
                                        <w:rStyle w:val="InternetLink"/>
                                      </w:rPr>
                                      <w:t xml:space="preserve"> E</w:t>
                                    </w:r>
                                  </w:hyperlink>
                                  <w:hyperlink w:anchor="toc849638_37">
                                    <w:r>
                                      <w:rPr>
                                        <w:rStyle w:val="InternetLink"/>
                                        <w:sz w:val="20"/>
                                        <w:u w:val="single"/>
                                      </w:rPr>
                                      <w:t>THICS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8">
                                    <w:r>
                                      <w:rPr>
                                        <w:rStyle w:val="InternetLink"/>
                                      </w:rPr>
                                      <w:t>I</w:t>
                                    </w:r>
                                  </w:hyperlink>
                                  <w:hyperlink w:anchor="toc849638_38">
                                    <w:r>
                                      <w:rPr>
                                        <w:rStyle w:val="InternetLink"/>
                                        <w:sz w:val="20"/>
                                        <w:u w:val="single"/>
                                      </w:rPr>
                                      <w:t>NSIDER</w:t>
                                    </w:r>
                                  </w:hyperlink>
                                  <w:hyperlink w:anchor="toc849638_38">
                                    <w:r>
                                      <w:rPr>
                                        <w:rStyle w:val="InternetLink"/>
                                      </w:rPr>
                                      <w:t xml:space="preserve"> T</w:t>
                                    </w:r>
                                  </w:hyperlink>
                                  <w:hyperlink w:anchor="toc849638_38">
                                    <w:r>
                                      <w:rPr>
                                        <w:rStyle w:val="InternetLink"/>
                                        <w:sz w:val="20"/>
                                        <w:u w:val="single"/>
                                      </w:rPr>
                                      <w:t>RADING</w:t>
                                    </w:r>
                                  </w:hyperlink>
                                  <w:hyperlink w:anchor="toc849638_38">
                                    <w:r>
                                      <w:rPr>
                                        <w:rStyle w:val="InternetLink"/>
                                      </w:rPr>
                                      <w:t xml:space="preserve"> P</w:t>
                                    </w:r>
                                  </w:hyperlink>
                                  <w:hyperlink w:anchor="toc849638_38">
                                    <w:r>
                                      <w:rPr>
                                        <w:rStyle w:val="InternetLink"/>
                                        <w:sz w:val="20"/>
                                        <w:u w:val="single"/>
                                      </w:rPr>
                                      <w:t>OLICY</w:t>
                                    </w:r>
                                  </w:hyperlink>
                                  <w:hyperlink w:anchor="toc849638_38">
                                    <w:r>
                                      <w:rPr>
                                        <w:rStyle w:val="InternetLink"/>
                                      </w:rPr>
                                      <w:t xml:space="preserve"> </w:t>
                                    </w:r>
                                  </w:hyperlink>
                                  <w:hyperlink w:anchor="toc849638_38">
                                    <w:r>
                                      <w:rPr>
                                        <w:rStyle w:val="InternetLink"/>
                                        <w:sz w:val="20"/>
                                        <w:u w:val="single"/>
                                      </w:rPr>
                                      <w:t>AND</w:t>
                                    </w:r>
                                  </w:hyperlink>
                                  <w:hyperlink w:anchor="toc849638_38">
                                    <w:r>
                                      <w:rPr>
                                        <w:rStyle w:val="InternetLink"/>
                                      </w:rPr>
                                      <w:t xml:space="preserve"> H</w:t>
                                    </w:r>
                                  </w:hyperlink>
                                  <w:hyperlink w:anchor="toc849638_38">
                                    <w:r>
                                      <w:rPr>
                                        <w:rStyle w:val="InternetLink"/>
                                        <w:sz w:val="20"/>
                                        <w:u w:val="single"/>
                                      </w:rPr>
                                      <w:t>EDGING</w:t>
                                    </w:r>
                                  </w:hyperlink>
                                  <w:hyperlink w:anchor="toc849638_38">
                                    <w:r>
                                      <w:rPr>
                                        <w:rStyle w:val="InternetLink"/>
                                      </w:rPr>
                                      <w:t xml:space="preserve"> </w:t>
                                    </w:r>
                                  </w:hyperlink>
                                  <w:hyperlink w:anchor="toc849638_38">
                                    <w:r>
                                      <w:rPr>
                                        <w:rStyle w:val="InternetLink"/>
                                        <w:sz w:val="20"/>
                                        <w:u w:val="single"/>
                                      </w:rPr>
                                      <w:t>AND</w:t>
                                    </w:r>
                                  </w:hyperlink>
                                  <w:hyperlink w:anchor="toc849638_38">
                                    <w:r>
                                      <w:rPr>
                                        <w:rStyle w:val="InternetLink"/>
                                      </w:rPr>
                                      <w:t xml:space="preserve"> P</w:t>
                                    </w:r>
                                  </w:hyperlink>
                                  <w:hyperlink w:anchor="toc849638_38">
                                    <w:r>
                                      <w:rPr>
                                        <w:rStyle w:val="InternetLink"/>
                                        <w:sz w:val="20"/>
                                        <w:u w:val="single"/>
                                      </w:rPr>
                                      <w:t>LEDGING</w:t>
                                    </w:r>
                                  </w:hyperlink>
                                  <w:hyperlink w:anchor="toc849638_38">
                                    <w:r>
                                      <w:rPr>
                                        <w:rStyle w:val="InternetLink"/>
                                      </w:rPr>
                                      <w:t xml:space="preserve"> P</w:t>
                                    </w:r>
                                  </w:hyperlink>
                                  <w:hyperlink w:anchor="toc849638_38">
                                    <w:r>
                                      <w:rPr>
                                        <w:rStyle w:val="InternetLink"/>
                                        <w:sz w:val="20"/>
                                        <w:u w:val="single"/>
                                      </w:rPr>
                                      <w:t>ROHIBITION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9">
                                    <w:r>
                                      <w:rPr>
                                        <w:rStyle w:val="InternetLink"/>
                                      </w:rPr>
                                      <w:t>S</w:t>
                                    </w:r>
                                  </w:hyperlink>
                                  <w:hyperlink w:anchor="toc849638_39">
                                    <w:r>
                                      <w:rPr>
                                        <w:rStyle w:val="InternetLink"/>
                                        <w:sz w:val="20"/>
                                        <w:u w:val="single"/>
                                      </w:rPr>
                                      <w:t>TOCKHOLDER</w:t>
                                    </w:r>
                                  </w:hyperlink>
                                  <w:hyperlink w:anchor="toc849638_39">
                                    <w:r>
                                      <w:rPr>
                                        <w:rStyle w:val="InternetLink"/>
                                      </w:rPr>
                                      <w:t xml:space="preserve"> E</w:t>
                                    </w:r>
                                  </w:hyperlink>
                                  <w:hyperlink w:anchor="toc849638_39">
                                    <w:r>
                                      <w:rPr>
                                        <w:rStyle w:val="InternetLink"/>
                                        <w:sz w:val="20"/>
                                        <w:u w:val="single"/>
                                      </w:rPr>
                                      <w:t>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0">
                                    <w:r>
                                      <w:rPr>
                                        <w:rStyle w:val="InternetLink"/>
                                      </w:rPr>
                                      <w:t>C</w:t>
                                    </w:r>
                                  </w:hyperlink>
                                  <w:hyperlink w:anchor="toc849638_40">
                                    <w:r>
                                      <w:rPr>
                                        <w:rStyle w:val="InternetLink"/>
                                        <w:sz w:val="20"/>
                                        <w:u w:val="single"/>
                                      </w:rPr>
                                      <w:t>OMMUNICATION</w:t>
                                    </w:r>
                                  </w:hyperlink>
                                  <w:hyperlink w:anchor="toc849638_40">
                                    <w:r>
                                      <w:rPr>
                                        <w:rStyle w:val="InternetLink"/>
                                      </w:rPr>
                                      <w:t xml:space="preserve"> </w:t>
                                    </w:r>
                                  </w:hyperlink>
                                  <w:hyperlink w:anchor="toc849638_40">
                                    <w:r>
                                      <w:rPr>
                                        <w:rStyle w:val="InternetLink"/>
                                        <w:sz w:val="20"/>
                                        <w:u w:val="single"/>
                                      </w:rPr>
                                      <w:t>WITH</w:t>
                                    </w:r>
                                  </w:hyperlink>
                                  <w:hyperlink w:anchor="toc849638_40">
                                    <w:r>
                                      <w:rPr>
                                        <w:rStyle w:val="InternetLink"/>
                                      </w:rPr>
                                      <w:t xml:space="preserve"> D</w:t>
                                    </w:r>
                                  </w:hyperlink>
                                  <w:hyperlink w:anchor="toc849638_40">
                                    <w:r>
                                      <w:rPr>
                                        <w:rStyle w:val="InternetLink"/>
                                        <w:sz w:val="20"/>
                                        <w:u w:val="single"/>
                                      </w:rPr>
                                      <w:t>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1">
                                    <w:r>
                                      <w:rPr>
                                        <w:rStyle w:val="InternetLink"/>
                                      </w:rPr>
                                      <w:t>S</w:t>
                                    </w:r>
                                  </w:hyperlink>
                                  <w:hyperlink w:anchor="toc849638_41">
                                    <w:r>
                                      <w:rPr>
                                        <w:rStyle w:val="InternetLink"/>
                                        <w:sz w:val="20"/>
                                        <w:u w:val="single"/>
                                      </w:rPr>
                                      <w:t>TOCKHOLDER</w:t>
                                    </w:r>
                                  </w:hyperlink>
                                  <w:hyperlink w:anchor="toc849638_41">
                                    <w:r>
                                      <w:rPr>
                                        <w:rStyle w:val="InternetLink"/>
                                      </w:rPr>
                                      <w:t xml:space="preserve"> N</w:t>
                                    </w:r>
                                  </w:hyperlink>
                                  <w:hyperlink w:anchor="toc849638_41">
                                    <w:r>
                                      <w:rPr>
                                        <w:rStyle w:val="InternetLink"/>
                                        <w:sz w:val="20"/>
                                        <w:u w:val="single"/>
                                      </w:rPr>
                                      <w:t>OMINATIONS</w:t>
                                    </w:r>
                                  </w:hyperlink>
                                  <w:hyperlink w:anchor="toc849638_41">
                                    <w:r>
                                      <w:rPr>
                                        <w:rStyle w:val="InternetLink"/>
                                      </w:rPr>
                                      <w:t xml:space="preserve"> </w:t>
                                    </w:r>
                                  </w:hyperlink>
                                  <w:hyperlink w:anchor="toc849638_41">
                                    <w:r>
                                      <w:rPr>
                                        <w:rStyle w:val="InternetLink"/>
                                        <w:sz w:val="20"/>
                                        <w:u w:val="single"/>
                                      </w:rPr>
                                      <w:t>OF</w:t>
                                    </w:r>
                                  </w:hyperlink>
                                  <w:hyperlink w:anchor="toc849638_41">
                                    <w:r>
                                      <w:rPr>
                                        <w:rStyle w:val="InternetLink"/>
                                      </w:rPr>
                                      <w:t xml:space="preserve"> D</w:t>
                                    </w:r>
                                  </w:hyperlink>
                                  <w:hyperlink w:anchor="toc849638_41">
                                    <w:r>
                                      <w:rPr>
                                        <w:rStyle w:val="InternetLink"/>
                                        <w:sz w:val="20"/>
                                        <w:u w:val="single"/>
                                      </w:rPr>
                                      <w:t>IRECTOR</w:t>
                                    </w:r>
                                  </w:hyperlink>
                                  <w:hyperlink w:anchor="toc849638_41">
                                    <w:r>
                                      <w:rPr>
                                        <w:rStyle w:val="InternetLink"/>
                                      </w:rPr>
                                      <w:t xml:space="preserve"> C</w:t>
                                    </w:r>
                                  </w:hyperlink>
                                  <w:hyperlink w:anchor="toc849638_41">
                                    <w:r>
                                      <w:rPr>
                                        <w:rStyle w:val="InternetLink"/>
                                        <w:sz w:val="20"/>
                                        <w:u w:val="single"/>
                                      </w:rPr>
                                      <w:t>ANDIDATES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2">
                                    <w:r>
                                      <w:rPr>
                                        <w:rStyle w:val="InternetLink"/>
                                      </w:rPr>
                                      <w:t>C</w:t>
                                    </w:r>
                                  </w:hyperlink>
                                  <w:hyperlink w:anchor="toc849638_42">
                                    <w:r>
                                      <w:rPr>
                                        <w:rStyle w:val="InternetLink"/>
                                        <w:sz w:val="20"/>
                                        <w:u w:val="single"/>
                                      </w:rPr>
                                      <w:t>ORPORATE</w:t>
                                    </w:r>
                                  </w:hyperlink>
                                  <w:hyperlink w:anchor="toc849638_42">
                                    <w:r>
                                      <w:rPr>
                                        <w:rStyle w:val="InternetLink"/>
                                      </w:rPr>
                                      <w:t xml:space="preserve"> G</w:t>
                                    </w:r>
                                  </w:hyperlink>
                                  <w:hyperlink w:anchor="toc849638_42">
                                    <w:r>
                                      <w:rPr>
                                        <w:rStyle w:val="InternetLink"/>
                                        <w:sz w:val="20"/>
                                        <w:u w:val="single"/>
                                      </w:rPr>
                                      <w:t>OVERNANCE</w:t>
                                    </w:r>
                                  </w:hyperlink>
                                  <w:hyperlink w:anchor="toc849638_42">
                                    <w:r>
                                      <w:rPr>
                                        <w:rStyle w:val="InternetLink"/>
                                      </w:rPr>
                                      <w:t xml:space="preserve"> M</w:t>
                                    </w:r>
                                  </w:hyperlink>
                                  <w:hyperlink w:anchor="toc849638_42">
                                    <w:r>
                                      <w:rPr>
                                        <w:rStyle w:val="InternetLink"/>
                                        <w:sz w:val="20"/>
                                        <w:u w:val="single"/>
                                      </w:rPr>
                                      <w:t>ATERIALS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3">
                                    <w:r>
                                      <w:rPr>
                                        <w:rStyle w:val="InternetLink"/>
                                        <w:b/>
                                        <w:color w:val="1070B8"/>
                                      </w:rPr>
                                      <w:t>CORPORATE RESPONSIBILITY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36</w:t>
                                  </w:r>
                                </w:p>
                              </w:tc>
                              <w:tc>
                                <w:tcPr>
                                  <w:tcW w:w="75" w:type="dxa"/>
                                  <w:tcBorders/>
                                  <w:vAlign w:val="center"/>
                                </w:tcPr>
                                <w:p>
                                  <w:pPr>
                                    <w:pStyle w:val="TableContents"/>
                                    <w:bidi w:val="0"/>
                                    <w:spacing w:before="0" w:after="283"/>
                                    <w:jc w:val="left"/>
                                    <w:rPr>
                                      <w:color w:val="1070B8"/>
                                    </w:rPr>
                                  </w:pPr>
                                  <w:r>
                                    <w:rPr>
                                      <w:color w:val="1070B8"/>
                                    </w:rPr>
                                    <w:t> </w:t>
                                  </w:r>
                                </w:p>
                              </w:tc>
                            </w:tr>
                            <w:tr>
                              <w:trPr/>
                              <w:tc>
                                <w:tcPr>
                                  <w:tcW w:w="9750" w:type="dxa"/>
                                  <w:tcBorders/>
                                  <w:vAlign w:val="center"/>
                                </w:tcPr>
                                <w:p>
                                  <w:pPr>
                                    <w:pStyle w:val="TableContents"/>
                                    <w:bidi w:val="0"/>
                                    <w:spacing w:before="0" w:after="283"/>
                                    <w:jc w:val="left"/>
                                    <w:rPr/>
                                  </w:pPr>
                                  <w:hyperlink w:anchor="toc849638_44">
                                    <w:r>
                                      <w:rPr>
                                        <w:rStyle w:val="InternetLink"/>
                                      </w:rPr>
                                      <w:t>G</w:t>
                                    </w:r>
                                  </w:hyperlink>
                                  <w:hyperlink w:anchor="toc849638_44">
                                    <w:r>
                                      <w:rPr>
                                        <w:rStyle w:val="InternetLink"/>
                                        <w:sz w:val="20"/>
                                        <w:u w:val="single"/>
                                      </w:rPr>
                                      <w:t>OING</w:t>
                                    </w:r>
                                  </w:hyperlink>
                                  <w:hyperlink w:anchor="toc849638_44">
                                    <w:r>
                                      <w:rPr>
                                        <w:rStyle w:val="InternetLink"/>
                                      </w:rPr>
                                      <w:t xml:space="preserve"> B</w:t>
                                    </w:r>
                                  </w:hyperlink>
                                  <w:hyperlink w:anchor="toc849638_44">
                                    <w:r>
                                      <w:rPr>
                                        <w:rStyle w:val="InternetLink"/>
                                        <w:sz w:val="20"/>
                                        <w:u w:val="single"/>
                                      </w:rPr>
                                      <w:t>EYOND</w:t>
                                    </w:r>
                                  </w:hyperlink>
                                  <w:hyperlink w:anchor="toc849638_44">
                                    <w:r>
                                      <w:rPr>
                                        <w:rStyle w:val="InternetLink"/>
                                      </w:rPr>
                                      <w:t xml:space="preserve"> </w:t>
                                    </w:r>
                                  </w:hyperlink>
                                  <w:hyperlink w:anchor="toc849638_44">
                                    <w:r>
                                      <w:rPr>
                                        <w:rStyle w:val="InternetLink"/>
                                        <w:sz w:val="20"/>
                                        <w:u w:val="single"/>
                                      </w:rPr>
                                      <w:t>THE</w:t>
                                    </w:r>
                                  </w:hyperlink>
                                  <w:hyperlink w:anchor="toc849638_44">
                                    <w:r>
                                      <w:rPr>
                                        <w:rStyle w:val="InternetLink"/>
                                      </w:rPr>
                                      <w:t xml:space="preserve"> B</w:t>
                                    </w:r>
                                  </w:hyperlink>
                                  <w:hyperlink w:anchor="toc849638_44">
                                    <w:r>
                                      <w:rPr>
                                        <w:rStyle w:val="InternetLink"/>
                                        <w:sz w:val="20"/>
                                        <w:u w:val="single"/>
                                      </w:rPr>
                                      <w:t>UILDINGS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5">
                                    <w:r>
                                      <w:rPr>
                                        <w:rStyle w:val="InternetLink"/>
                                      </w:rPr>
                                      <w:t>C</w:t>
                                    </w:r>
                                  </w:hyperlink>
                                  <w:hyperlink w:anchor="toc849638_45">
                                    <w:r>
                                      <w:rPr>
                                        <w:rStyle w:val="InternetLink"/>
                                        <w:sz w:val="20"/>
                                        <w:u w:val="single"/>
                                      </w:rPr>
                                      <w:t>OMMITTING</w:t>
                                    </w:r>
                                  </w:hyperlink>
                                  <w:hyperlink w:anchor="toc849638_45">
                                    <w:r>
                                      <w:rPr>
                                        <w:rStyle w:val="InternetLink"/>
                                      </w:rPr>
                                      <w:t xml:space="preserve"> </w:t>
                                    </w:r>
                                  </w:hyperlink>
                                  <w:hyperlink w:anchor="toc849638_45">
                                    <w:r>
                                      <w:rPr>
                                        <w:rStyle w:val="InternetLink"/>
                                        <w:sz w:val="20"/>
                                        <w:u w:val="single"/>
                                      </w:rPr>
                                      <w:t>TO</w:t>
                                    </w:r>
                                  </w:hyperlink>
                                  <w:hyperlink w:anchor="toc849638_45">
                                    <w:r>
                                      <w:rPr>
                                        <w:rStyle w:val="InternetLink"/>
                                      </w:rPr>
                                      <w:t xml:space="preserve"> O</w:t>
                                    </w:r>
                                  </w:hyperlink>
                                  <w:hyperlink w:anchor="toc849638_45">
                                    <w:r>
                                      <w:rPr>
                                        <w:rStyle w:val="InternetLink"/>
                                        <w:sz w:val="20"/>
                                        <w:u w:val="single"/>
                                      </w:rPr>
                                      <w:t>UR</w:t>
                                    </w:r>
                                  </w:hyperlink>
                                  <w:hyperlink w:anchor="toc849638_45">
                                    <w:r>
                                      <w:rPr>
                                        <w:rStyle w:val="InternetLink"/>
                                      </w:rPr>
                                      <w:t xml:space="preserve"> P</w:t>
                                    </w:r>
                                  </w:hyperlink>
                                  <w:hyperlink w:anchor="toc849638_45">
                                    <w:r>
                                      <w:rPr>
                                        <w:rStyle w:val="InternetLink"/>
                                        <w:sz w:val="20"/>
                                        <w:u w:val="single"/>
                                      </w:rPr>
                                      <w:t>EOPLE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6">
                                    <w:r>
                                      <w:rPr>
                                        <w:rStyle w:val="InternetLink"/>
                                      </w:rPr>
                                      <w:t>E</w:t>
                                    </w:r>
                                  </w:hyperlink>
                                  <w:hyperlink w:anchor="toc849638_46">
                                    <w:r>
                                      <w:rPr>
                                        <w:rStyle w:val="InternetLink"/>
                                        <w:sz w:val="20"/>
                                        <w:u w:val="single"/>
                                      </w:rPr>
                                      <w:t>LEVATING</w:t>
                                    </w:r>
                                  </w:hyperlink>
                                  <w:hyperlink w:anchor="toc849638_46">
                                    <w:r>
                                      <w:rPr>
                                        <w:rStyle w:val="InternetLink"/>
                                      </w:rPr>
                                      <w:t xml:space="preserve"> </w:t>
                                    </w:r>
                                  </w:hyperlink>
                                  <w:hyperlink w:anchor="toc849638_46">
                                    <w:r>
                                      <w:rPr>
                                        <w:rStyle w:val="InternetLink"/>
                                        <w:sz w:val="20"/>
                                        <w:u w:val="single"/>
                                      </w:rPr>
                                      <w:t>OUR</w:t>
                                    </w:r>
                                  </w:hyperlink>
                                  <w:hyperlink w:anchor="toc849638_46">
                                    <w:r>
                                      <w:rPr>
                                        <w:rStyle w:val="InternetLink"/>
                                      </w:rPr>
                                      <w:t xml:space="preserve"> N</w:t>
                                    </w:r>
                                  </w:hyperlink>
                                  <w:hyperlink w:anchor="toc849638_46">
                                    <w:r>
                                      <w:rPr>
                                        <w:rStyle w:val="InternetLink"/>
                                        <w:sz w:val="20"/>
                                        <w:u w:val="single"/>
                                      </w:rPr>
                                      <w:t>EIGHBORHOODS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7">
                                    <w:r>
                                      <w:rPr>
                                        <w:rStyle w:val="InternetLink"/>
                                      </w:rPr>
                                      <w:t>C</w:t>
                                    </w:r>
                                  </w:hyperlink>
                                  <w:hyperlink w:anchor="toc849638_47">
                                    <w:r>
                                      <w:rPr>
                                        <w:rStyle w:val="InternetLink"/>
                                        <w:sz w:val="20"/>
                                        <w:u w:val="single"/>
                                      </w:rPr>
                                      <w:t>ORPORATE</w:t>
                                    </w:r>
                                  </w:hyperlink>
                                  <w:hyperlink w:anchor="toc849638_47">
                                    <w:r>
                                      <w:rPr>
                                        <w:rStyle w:val="InternetLink"/>
                                      </w:rPr>
                                      <w:t xml:space="preserve"> R</w:t>
                                    </w:r>
                                  </w:hyperlink>
                                  <w:hyperlink w:anchor="toc849638_47">
                                    <w:r>
                                      <w:rPr>
                                        <w:rStyle w:val="InternetLink"/>
                                        <w:sz w:val="20"/>
                                        <w:u w:val="single"/>
                                      </w:rPr>
                                      <w:t>ESPONSIBILITY</w:t>
                                    </w:r>
                                  </w:hyperlink>
                                  <w:hyperlink w:anchor="toc849638_47">
                                    <w:r>
                                      <w:rPr>
                                        <w:rStyle w:val="InternetLink"/>
                                      </w:rPr>
                                      <w:t xml:space="preserve"> M</w:t>
                                    </w:r>
                                  </w:hyperlink>
                                  <w:hyperlink w:anchor="toc849638_47">
                                    <w:r>
                                      <w:rPr>
                                        <w:rStyle w:val="InternetLink"/>
                                        <w:sz w:val="20"/>
                                        <w:u w:val="single"/>
                                      </w:rPr>
                                      <w:t>ATERIALS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8">
                                    <w:r>
                                      <w:rPr>
                                        <w:rStyle w:val="InternetLink"/>
                                        <w:b/>
                                        <w:color w:val="1070B8"/>
                                      </w:rPr>
                                      <w:t>PROPOSAL 2 – RATIFICATION OF THE APPOINTMENT OF OUR INDEPENDENT REGISTERED PUBLIC ACCOUNTING FIRM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43</w:t>
                                  </w:r>
                                </w:p>
                              </w:tc>
                              <w:tc>
                                <w:tcPr>
                                  <w:tcW w:w="75" w:type="dxa"/>
                                  <w:tcBorders/>
                                  <w:vAlign w:val="center"/>
                                </w:tcPr>
                                <w:p>
                                  <w:pPr>
                                    <w:pStyle w:val="TableContents"/>
                                    <w:bidi w:val="0"/>
                                    <w:spacing w:before="0" w:after="283"/>
                                    <w:jc w:val="left"/>
                                    <w:rPr>
                                      <w:color w:val="1070B8"/>
                                    </w:rPr>
                                  </w:pPr>
                                  <w:r>
                                    <w:rPr>
                                      <w:color w:val="1070B8"/>
                                    </w:rPr>
                                    <w:t> </w:t>
                                  </w:r>
                                </w:p>
                              </w:tc>
                            </w:tr>
                            <w:tr>
                              <w:trPr/>
                              <w:tc>
                                <w:tcPr>
                                  <w:tcW w:w="9750" w:type="dxa"/>
                                  <w:tcBorders/>
                                  <w:vAlign w:val="center"/>
                                </w:tcPr>
                                <w:p>
                                  <w:pPr>
                                    <w:pStyle w:val="TableContents"/>
                                    <w:bidi w:val="0"/>
                                    <w:spacing w:before="0" w:after="283"/>
                                    <w:jc w:val="left"/>
                                    <w:rPr/>
                                  </w:pPr>
                                  <w:hyperlink w:anchor="toc849638_49">
                                    <w:r>
                                      <w:rPr>
                                        <w:rStyle w:val="InternetLink"/>
                                      </w:rPr>
                                      <w:t>O</w:t>
                                    </w:r>
                                  </w:hyperlink>
                                  <w:hyperlink w:anchor="toc849638_49">
                                    <w:r>
                                      <w:rPr>
                                        <w:rStyle w:val="InternetLink"/>
                                        <w:sz w:val="20"/>
                                        <w:u w:val="single"/>
                                      </w:rPr>
                                      <w:t>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50">
                                    <w:r>
                                      <w:rPr>
                                        <w:rStyle w:val="InternetLink"/>
                                      </w:rPr>
                                      <w:t>F</w:t>
                                    </w:r>
                                  </w:hyperlink>
                                  <w:hyperlink w:anchor="toc849638_50">
                                    <w:r>
                                      <w:rPr>
                                        <w:rStyle w:val="InternetLink"/>
                                        <w:sz w:val="20"/>
                                        <w:u w:val="single"/>
                                      </w:rPr>
                                      <w:t>EES</w:t>
                                    </w:r>
                                  </w:hyperlink>
                                  <w:hyperlink w:anchor="toc849638_50">
                                    <w:r>
                                      <w:rPr>
                                        <w:rStyle w:val="InternetLink"/>
                                      </w:rPr>
                                      <w:t xml:space="preserve"> P</w:t>
                                    </w:r>
                                  </w:hyperlink>
                                  <w:hyperlink w:anchor="toc849638_50">
                                    <w:r>
                                      <w:rPr>
                                        <w:rStyle w:val="InternetLink"/>
                                        <w:sz w:val="20"/>
                                        <w:u w:val="single"/>
                                      </w:rPr>
                                      <w:t>AID</w:t>
                                    </w:r>
                                  </w:hyperlink>
                                  <w:hyperlink w:anchor="toc849638_50">
                                    <w:r>
                                      <w:rPr>
                                        <w:rStyle w:val="InternetLink"/>
                                      </w:rPr>
                                      <w:t xml:space="preserve"> </w:t>
                                    </w:r>
                                  </w:hyperlink>
                                  <w:hyperlink w:anchor="toc849638_50">
                                    <w:r>
                                      <w:rPr>
                                        <w:rStyle w:val="InternetLink"/>
                                        <w:sz w:val="20"/>
                                        <w:u w:val="single"/>
                                      </w:rPr>
                                      <w:t>TO</w:t>
                                    </w:r>
                                  </w:hyperlink>
                                  <w:hyperlink w:anchor="toc849638_50">
                                    <w:r>
                                      <w:rPr>
                                        <w:rStyle w:val="InternetLink"/>
                                      </w:rPr>
                                      <w:t xml:space="preserve"> D</w:t>
                                    </w:r>
                                  </w:hyperlink>
                                  <w:hyperlink w:anchor="toc849638_50">
                                    <w:r>
                                      <w:rPr>
                                        <w:rStyle w:val="InternetLink"/>
                                        <w:sz w:val="20"/>
                                        <w:u w:val="single"/>
                                      </w:rPr>
                                      <w:t>ELOITTE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51">
                                    <w:r>
                                      <w:rPr>
                                        <w:rStyle w:val="InternetLink"/>
                                      </w:rPr>
                                      <w:t>P</w:t>
                                    </w:r>
                                  </w:hyperlink>
                                  <w:hyperlink w:anchor="toc849638_51">
                                    <w:r>
                                      <w:rPr>
                                        <w:rStyle w:val="InternetLink"/>
                                        <w:sz w:val="20"/>
                                        <w:u w:val="single"/>
                                      </w:rPr>
                                      <w:t>RE</w:t>
                                    </w:r>
                                  </w:hyperlink>
                                  <w:hyperlink w:anchor="toc849638_51">
                                    <w:r>
                                      <w:rPr>
                                        <w:rStyle w:val="InternetLink"/>
                                      </w:rPr>
                                      <w:t>-</w:t>
                                    </w:r>
                                  </w:hyperlink>
                                  <w:hyperlink w:anchor="toc849638_51">
                                    <w:r>
                                      <w:rPr>
                                        <w:rStyle w:val="InternetLink"/>
                                        <w:sz w:val="20"/>
                                        <w:u w:val="single"/>
                                      </w:rPr>
                                      <w:t>APPROVAL</w:t>
                                    </w:r>
                                  </w:hyperlink>
                                  <w:hyperlink w:anchor="toc849638_51">
                                    <w:r>
                                      <w:rPr>
                                        <w:rStyle w:val="InternetLink"/>
                                      </w:rPr>
                                      <w:t xml:space="preserve"> </w:t>
                                    </w:r>
                                  </w:hyperlink>
                                  <w:hyperlink w:anchor="toc849638_51">
                                    <w:r>
                                      <w:rPr>
                                        <w:rStyle w:val="InternetLink"/>
                                        <w:sz w:val="20"/>
                                        <w:u w:val="single"/>
                                      </w:rPr>
                                      <w:t>OF</w:t>
                                    </w:r>
                                  </w:hyperlink>
                                  <w:hyperlink w:anchor="toc849638_51">
                                    <w:r>
                                      <w:rPr>
                                        <w:rStyle w:val="InternetLink"/>
                                      </w:rPr>
                                      <w:t xml:space="preserve"> S</w:t>
                                    </w:r>
                                  </w:hyperlink>
                                  <w:hyperlink w:anchor="toc849638_51">
                                    <w:r>
                                      <w:rPr>
                                        <w:rStyle w:val="InternetLink"/>
                                        <w:sz w:val="20"/>
                                        <w:u w:val="single"/>
                                      </w:rPr>
                                      <w:t>ERVICES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52">
                                    <w:r>
                                      <w:rPr>
                                        <w:rStyle w:val="InternetLink"/>
                                      </w:rPr>
                                      <w:t>R</w:t>
                                    </w:r>
                                  </w:hyperlink>
                                  <w:hyperlink w:anchor="toc849638_52">
                                    <w:r>
                                      <w:rPr>
                                        <w:rStyle w:val="InternetLink"/>
                                        <w:sz w:val="20"/>
                                        <w:u w:val="single"/>
                                      </w:rPr>
                                      <w:t>EPORT</w:t>
                                    </w:r>
                                  </w:hyperlink>
                                  <w:hyperlink w:anchor="toc849638_52">
                                    <w:r>
                                      <w:rPr>
                                        <w:rStyle w:val="InternetLink"/>
                                      </w:rPr>
                                      <w:t xml:space="preserve"> </w:t>
                                    </w:r>
                                  </w:hyperlink>
                                  <w:hyperlink w:anchor="toc849638_52">
                                    <w:r>
                                      <w:rPr>
                                        <w:rStyle w:val="InternetLink"/>
                                        <w:sz w:val="20"/>
                                        <w:u w:val="single"/>
                                      </w:rPr>
                                      <w:t>OF</w:t>
                                    </w:r>
                                  </w:hyperlink>
                                  <w:hyperlink w:anchor="toc849638_52">
                                    <w:r>
                                      <w:rPr>
                                        <w:rStyle w:val="InternetLink"/>
                                      </w:rPr>
                                      <w:t xml:space="preserve"> </w:t>
                                    </w:r>
                                  </w:hyperlink>
                                  <w:hyperlink w:anchor="toc849638_52">
                                    <w:r>
                                      <w:rPr>
                                        <w:rStyle w:val="InternetLink"/>
                                        <w:sz w:val="20"/>
                                        <w:u w:val="single"/>
                                      </w:rPr>
                                      <w:t>THE</w:t>
                                    </w:r>
                                  </w:hyperlink>
                                  <w:hyperlink w:anchor="toc849638_52">
                                    <w:r>
                                      <w:rPr>
                                        <w:rStyle w:val="InternetLink"/>
                                      </w:rPr>
                                      <w:t xml:space="preserve"> A</w:t>
                                    </w:r>
                                  </w:hyperlink>
                                  <w:hyperlink w:anchor="toc849638_52">
                                    <w:r>
                                      <w:rPr>
                                        <w:rStyle w:val="InternetLink"/>
                                        <w:sz w:val="20"/>
                                        <w:u w:val="single"/>
                                      </w:rPr>
                                      <w:t>UDIT</w:t>
                                    </w:r>
                                  </w:hyperlink>
                                  <w:hyperlink w:anchor="toc849638_52">
                                    <w:r>
                                      <w:rPr>
                                        <w:rStyle w:val="InternetLink"/>
                                      </w:rPr>
                                      <w:t xml:space="preserve"> C</w:t>
                                    </w:r>
                                  </w:hyperlink>
                                  <w:hyperlink w:anchor="toc849638_52">
                                    <w:r>
                                      <w:rPr>
                                        <w:rStyle w:val="InternetLink"/>
                                        <w:sz w:val="20"/>
                                        <w:u w:val="single"/>
                                      </w:rPr>
                                      <w:t>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53">
                                    <w:r>
                                      <w:rPr>
                                        <w:rStyle w:val="InternetLink"/>
                                      </w:rPr>
                                      <w:t>R</w:t>
                                    </w:r>
                                  </w:hyperlink>
                                  <w:hyperlink w:anchor="toc849638_53">
                                    <w:r>
                                      <w:rPr>
                                        <w:rStyle w:val="InternetLink"/>
                                        <w:sz w:val="20"/>
                                        <w:u w:val="single"/>
                                      </w:rPr>
                                      <w:t>EQUIRED</w:t>
                                    </w:r>
                                  </w:hyperlink>
                                  <w:hyperlink w:anchor="toc849638_53">
                                    <w:r>
                                      <w:rPr>
                                        <w:rStyle w:val="InternetLink"/>
                                      </w:rPr>
                                      <w:t xml:space="preserve"> V</w:t>
                                    </w:r>
                                  </w:hyperlink>
                                  <w:hyperlink w:anchor="toc849638_53">
                                    <w:r>
                                      <w:rPr>
                                        <w:rStyle w:val="InternetLink"/>
                                        <w:sz w:val="20"/>
                                        <w:u w:val="single"/>
                                      </w:rPr>
                                      <w:t>OTE</w:t>
                                    </w:r>
                                  </w:hyperlink>
                                  <w:hyperlink w:anchor="toc849638_53">
                                    <w:r>
                                      <w:rPr>
                                        <w:rStyle w:val="InternetLink"/>
                                      </w:rPr>
                                      <w:t xml:space="preserve"> </w:t>
                                    </w:r>
                                  </w:hyperlink>
                                  <w:hyperlink w:anchor="toc849638_53">
                                    <w:r>
                                      <w:rPr>
                                        <w:rStyle w:val="InternetLink"/>
                                        <w:sz w:val="20"/>
                                        <w:u w:val="single"/>
                                      </w:rPr>
                                      <w:t>AND</w:t>
                                    </w:r>
                                  </w:hyperlink>
                                  <w:hyperlink w:anchor="toc849638_53">
                                    <w:r>
                                      <w:rPr>
                                        <w:rStyle w:val="InternetLink"/>
                                      </w:rPr>
                                      <w:t xml:space="preserve"> R</w:t>
                                    </w:r>
                                  </w:hyperlink>
                                  <w:hyperlink w:anchor="toc849638_53">
                                    <w:r>
                                      <w:rPr>
                                        <w:rStyle w:val="InternetLink"/>
                                        <w:sz w:val="20"/>
                                        <w:u w:val="single"/>
                                      </w:rPr>
                                      <w:t>ECOMMENDATION</w:t>
                                    </w:r>
                                  </w:hyperlink>
                                  <w:hyperlink w:anchor="toc849638_53">
                                    <w:r>
                                      <w:rPr>
                                        <w:rStyle w:val="InternetLink"/>
                                      </w:rPr>
                                      <w:t xml:space="preserve"> </w:t>
                                    </w:r>
                                  </w:hyperlink>
                                  <w:hyperlink w:anchor="toc849638_53">
                                    <w:r>
                                      <w:rPr>
                                        <w:rStyle w:val="InternetLink"/>
                                        <w:sz w:val="20"/>
                                        <w:u w:val="single"/>
                                      </w:rPr>
                                      <w:t>OF</w:t>
                                    </w:r>
                                  </w:hyperlink>
                                  <w:hyperlink w:anchor="toc849638_53">
                                    <w:r>
                                      <w:rPr>
                                        <w:rStyle w:val="InternetLink"/>
                                      </w:rPr>
                                      <w:t xml:space="preserve"> </w:t>
                                    </w:r>
                                  </w:hyperlink>
                                  <w:hyperlink w:anchor="toc849638_53">
                                    <w:r>
                                      <w:rPr>
                                        <w:rStyle w:val="InternetLink"/>
                                        <w:sz w:val="20"/>
                                        <w:u w:val="single"/>
                                      </w:rPr>
                                      <w:t>THE</w:t>
                                    </w:r>
                                  </w:hyperlink>
                                  <w:hyperlink w:anchor="toc849638_53">
                                    <w:r>
                                      <w:rPr>
                                        <w:rStyle w:val="InternetLink"/>
                                      </w:rPr>
                                      <w:t xml:space="preserve"> B</w:t>
                                    </w:r>
                                  </w:hyperlink>
                                  <w:hyperlink w:anchor="toc849638_53">
                                    <w:r>
                                      <w:rPr>
                                        <w:rStyle w:val="InternetLink"/>
                                        <w:sz w:val="20"/>
                                        <w:u w:val="single"/>
                                      </w:rPr>
                                      <w:t>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54">
                                    <w:r>
                                      <w:rPr>
                                        <w:rStyle w:val="InternetLink"/>
                                        <w:b/>
                                        <w:color w:val="1070B8"/>
                                      </w:rPr>
                                      <w:t>PROPOSAL 3 – NON-BINDING ADVISORY VOTE ON 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46</w:t>
                                  </w:r>
                                </w:p>
                              </w:tc>
                              <w:tc>
                                <w:tcPr>
                                  <w:tcW w:w="75" w:type="dxa"/>
                                  <w:tcBorders/>
                                  <w:vAlign w:val="center"/>
                                </w:tcPr>
                                <w:p>
                                  <w:pPr>
                                    <w:pStyle w:val="TableContents"/>
                                    <w:bidi w:val="0"/>
                                    <w:spacing w:before="0" w:after="283"/>
                                    <w:jc w:val="left"/>
                                    <w:rPr>
                                      <w:color w:val="1070B8"/>
                                    </w:rPr>
                                  </w:pPr>
                                  <w:r>
                                    <w:rPr>
                                      <w:color w:val="1070B8"/>
                                    </w:rPr>
                                    <w:t> </w:t>
                                  </w:r>
                                </w:p>
                              </w:tc>
                            </w:tr>
                            <w:tr>
                              <w:trPr/>
                              <w:tc>
                                <w:tcPr>
                                  <w:tcW w:w="9750" w:type="dxa"/>
                                  <w:tcBorders/>
                                  <w:vAlign w:val="center"/>
                                </w:tcPr>
                                <w:p>
                                  <w:pPr>
                                    <w:pStyle w:val="TableContents"/>
                                    <w:bidi w:val="0"/>
                                    <w:spacing w:before="0" w:after="283"/>
                                    <w:jc w:val="left"/>
                                    <w:rPr/>
                                  </w:pPr>
                                  <w:hyperlink w:anchor="toc849638_55">
                                    <w:r>
                                      <w:rPr>
                                        <w:rStyle w:val="InternetLink"/>
                                      </w:rPr>
                                      <w:t>R</w:t>
                                    </w:r>
                                  </w:hyperlink>
                                  <w:hyperlink w:anchor="toc849638_55">
                                    <w:r>
                                      <w:rPr>
                                        <w:rStyle w:val="InternetLink"/>
                                        <w:sz w:val="20"/>
                                        <w:u w:val="single"/>
                                      </w:rPr>
                                      <w:t>EQUIRED</w:t>
                                    </w:r>
                                  </w:hyperlink>
                                  <w:hyperlink w:anchor="toc849638_55">
                                    <w:r>
                                      <w:rPr>
                                        <w:rStyle w:val="InternetLink"/>
                                      </w:rPr>
                                      <w:t xml:space="preserve"> V</w:t>
                                    </w:r>
                                  </w:hyperlink>
                                  <w:hyperlink w:anchor="toc849638_55">
                                    <w:r>
                                      <w:rPr>
                                        <w:rStyle w:val="InternetLink"/>
                                        <w:sz w:val="20"/>
                                        <w:u w:val="single"/>
                                      </w:rPr>
                                      <w:t>OTE</w:t>
                                    </w:r>
                                  </w:hyperlink>
                                  <w:hyperlink w:anchor="toc849638_55">
                                    <w:r>
                                      <w:rPr>
                                        <w:rStyle w:val="InternetLink"/>
                                      </w:rPr>
                                      <w:t xml:space="preserve"> </w:t>
                                    </w:r>
                                  </w:hyperlink>
                                  <w:hyperlink w:anchor="toc849638_55">
                                    <w:r>
                                      <w:rPr>
                                        <w:rStyle w:val="InternetLink"/>
                                        <w:sz w:val="20"/>
                                        <w:u w:val="single"/>
                                      </w:rPr>
                                      <w:t>AND</w:t>
                                    </w:r>
                                  </w:hyperlink>
                                  <w:hyperlink w:anchor="toc849638_55">
                                    <w:r>
                                      <w:rPr>
                                        <w:rStyle w:val="InternetLink"/>
                                      </w:rPr>
                                      <w:t xml:space="preserve"> R</w:t>
                                    </w:r>
                                  </w:hyperlink>
                                  <w:hyperlink w:anchor="toc849638_55">
                                    <w:r>
                                      <w:rPr>
                                        <w:rStyle w:val="InternetLink"/>
                                        <w:sz w:val="20"/>
                                        <w:u w:val="single"/>
                                      </w:rPr>
                                      <w:t>ECOMMENDATION</w:t>
                                    </w:r>
                                  </w:hyperlink>
                                  <w:hyperlink w:anchor="toc849638_55">
                                    <w:r>
                                      <w:rPr>
                                        <w:rStyle w:val="InternetLink"/>
                                      </w:rPr>
                                      <w:t xml:space="preserve"> </w:t>
                                    </w:r>
                                  </w:hyperlink>
                                  <w:hyperlink w:anchor="toc849638_55">
                                    <w:r>
                                      <w:rPr>
                                        <w:rStyle w:val="InternetLink"/>
                                        <w:sz w:val="20"/>
                                        <w:u w:val="single"/>
                                      </w:rPr>
                                      <w:t>OF</w:t>
                                    </w:r>
                                  </w:hyperlink>
                                  <w:hyperlink w:anchor="toc849638_55">
                                    <w:r>
                                      <w:rPr>
                                        <w:rStyle w:val="InternetLink"/>
                                      </w:rPr>
                                      <w:t xml:space="preserve"> </w:t>
                                    </w:r>
                                  </w:hyperlink>
                                  <w:hyperlink w:anchor="toc849638_55">
                                    <w:r>
                                      <w:rPr>
                                        <w:rStyle w:val="InternetLink"/>
                                        <w:sz w:val="20"/>
                                        <w:u w:val="single"/>
                                      </w:rPr>
                                      <w:t>THE</w:t>
                                    </w:r>
                                  </w:hyperlink>
                                  <w:hyperlink w:anchor="toc849638_55">
                                    <w:r>
                                      <w:rPr>
                                        <w:rStyle w:val="InternetLink"/>
                                      </w:rPr>
                                      <w:t xml:space="preserve"> B</w:t>
                                    </w:r>
                                  </w:hyperlink>
                                  <w:hyperlink w:anchor="toc849638_55">
                                    <w:r>
                                      <w:rPr>
                                        <w:rStyle w:val="InternetLink"/>
                                        <w:sz w:val="20"/>
                                        <w:u w:val="single"/>
                                      </w:rPr>
                                      <w:t>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49638_1">
                              <w:r>
                                <w:rPr>
                                  <w:rStyle w:val="InternetLink"/>
                                  <w:b/>
                                  <w:color w:val="1070B8"/>
                                </w:rPr>
                                <w:t>PROXY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2</w:t>
                            </w:r>
                          </w:p>
                        </w:tc>
                        <w:tc>
                          <w:tcPr>
                            <w:tcW w:w="75" w:type="dxa"/>
                            <w:tcBorders/>
                            <w:vAlign w:val="center"/>
                          </w:tcPr>
                          <w:p>
                            <w:pPr>
                              <w:pStyle w:val="TableContents"/>
                              <w:bidi w:val="0"/>
                              <w:spacing w:before="0" w:after="283"/>
                              <w:jc w:val="left"/>
                              <w:rPr>
                                <w:color w:val="1070B8"/>
                              </w:rPr>
                            </w:pPr>
                            <w:r>
                              <w:rPr>
                                <w:color w:val="1070B8"/>
                              </w:rPr>
                              <w:t> </w:t>
                            </w:r>
                          </w:p>
                        </w:tc>
                      </w:tr>
                      <w:tr>
                        <w:trPr/>
                        <w:tc>
                          <w:tcPr>
                            <w:tcW w:w="9750" w:type="dxa"/>
                            <w:tcBorders/>
                            <w:vAlign w:val="center"/>
                          </w:tcPr>
                          <w:p>
                            <w:pPr>
                              <w:pStyle w:val="TableContents"/>
                              <w:bidi w:val="0"/>
                              <w:spacing w:before="0" w:after="283"/>
                              <w:jc w:val="left"/>
                              <w:rPr/>
                            </w:pPr>
                            <w:hyperlink w:anchor="toc849638_2">
                              <w:r>
                                <w:rPr>
                                  <w:rStyle w:val="InternetLink"/>
                                </w:rPr>
                                <w:t>A</w:t>
                              </w:r>
                            </w:hyperlink>
                            <w:hyperlink w:anchor="toc849638_2">
                              <w:r>
                                <w:rPr>
                                  <w:rStyle w:val="InternetLink"/>
                                  <w:sz w:val="20"/>
                                  <w:u w:val="single"/>
                                </w:rPr>
                                <w:t>NNUAL</w:t>
                              </w:r>
                            </w:hyperlink>
                            <w:hyperlink w:anchor="toc849638_2">
                              <w:r>
                                <w:rPr>
                                  <w:rStyle w:val="InternetLink"/>
                                </w:rPr>
                                <w:t xml:space="preserve"> M</w:t>
                              </w:r>
                            </w:hyperlink>
                            <w:hyperlink w:anchor="toc849638_2">
                              <w:r>
                                <w:rPr>
                                  <w:rStyle w:val="InternetLink"/>
                                  <w:sz w:val="20"/>
                                  <w:u w:val="single"/>
                                </w:rPr>
                                <w:t>EETING</w:t>
                              </w:r>
                            </w:hyperlink>
                            <w:hyperlink w:anchor="toc849638_2">
                              <w:r>
                                <w:rPr>
                                  <w:rStyle w:val="InternetLink"/>
                                </w:rPr>
                                <w:t xml:space="preserve"> P</w:t>
                              </w:r>
                            </w:hyperlink>
                            <w:hyperlink w:anchor="toc849638_2">
                              <w:r>
                                <w:rPr>
                                  <w:rStyle w:val="InternetLink"/>
                                  <w:sz w:val="20"/>
                                  <w:u w:val="single"/>
                                </w:rPr>
                                <w:t>ROPOSALS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
                              <w:r>
                                <w:rPr>
                                  <w:rStyle w:val="InternetLink"/>
                                </w:rPr>
                                <w:t>B</w:t>
                              </w:r>
                            </w:hyperlink>
                            <w:hyperlink w:anchor="toc849638_3">
                              <w:r>
                                <w:rPr>
                                  <w:rStyle w:val="InternetLink"/>
                                  <w:sz w:val="20"/>
                                  <w:u w:val="single"/>
                                </w:rPr>
                                <w:t>USINESS</w:t>
                              </w:r>
                            </w:hyperlink>
                            <w:hyperlink w:anchor="toc849638_3">
                              <w:r>
                                <w:rPr>
                                  <w:rStyle w:val="InternetLink"/>
                                </w:rPr>
                                <w:t xml:space="preserve"> O</w:t>
                              </w:r>
                            </w:hyperlink>
                            <w:hyperlink w:anchor="toc849638_3">
                              <w:r>
                                <w:rPr>
                                  <w:rStyle w:val="InternetLink"/>
                                  <w:sz w:val="20"/>
                                  <w:u w:val="single"/>
                                </w:rPr>
                                <w:t>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0"/>
                              <w:jc w:val="left"/>
                              <w:rPr/>
                            </w:pPr>
                            <w:hyperlink w:anchor="toc849638_4">
                              <w:r>
                                <w:rPr>
                                  <w:rStyle w:val="InternetLink"/>
                                  <w:rFonts w:ascii="arial" w:hAnsi="arial"/>
                                  <w:sz w:val="18"/>
                                </w:rPr>
                                <w:t>O</w:t>
                              </w:r>
                            </w:hyperlink>
                            <w:hyperlink w:anchor="toc849638_4">
                              <w:r>
                                <w:rPr>
                                  <w:rStyle w:val="InternetLink"/>
                                  <w:rFonts w:ascii="arial" w:hAnsi="arial"/>
                                  <w:sz w:val="20"/>
                                  <w:u w:val="single"/>
                                </w:rPr>
                                <w:t>UR</w:t>
                              </w:r>
                            </w:hyperlink>
                            <w:hyperlink w:anchor="toc849638_4">
                              <w:r>
                                <w:rPr>
                                  <w:rStyle w:val="InternetLink"/>
                                  <w:rFonts w:ascii="arial" w:hAnsi="arial"/>
                                  <w:sz w:val="18"/>
                                </w:rPr>
                                <w:t xml:space="preserve"> B</w:t>
                              </w:r>
                            </w:hyperlink>
                            <w:hyperlink w:anchor="toc849638_4">
                              <w:r>
                                <w:rPr>
                                  <w:rStyle w:val="InternetLink"/>
                                  <w:rFonts w:ascii="arial" w:hAnsi="arial"/>
                                  <w:sz w:val="20"/>
                                  <w:u w:val="single"/>
                                </w:rPr>
                                <w:t>USINESS</w:t>
                              </w:r>
                            </w:hyperlink>
                            <w:hyperlink w:anchor="toc849638_4">
                              <w:r>
                                <w:rPr>
                                  <w:rStyle w:val="InternetLink"/>
                                  <w:rFonts w:ascii="arial" w:hAnsi="arial"/>
                                  <w:sz w:val="18"/>
                                </w:rPr>
                                <w:t xml:space="preserve"> S</w:t>
                              </w:r>
                            </w:hyperlink>
                            <w:hyperlink w:anchor="toc849638_4">
                              <w:r>
                                <w:rPr>
                                  <w:rStyle w:val="InternetLink"/>
                                  <w:rFonts w:ascii="arial" w:hAnsi="arial"/>
                                  <w:sz w:val="20"/>
                                  <w:u w:val="single"/>
                                </w:rPr>
                                <w:t>TRATEGY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6">
                              <w:r>
                                <w:rPr>
                                  <w:rStyle w:val="InternetLink"/>
                                </w:rPr>
                                <w:t>2024 F</w:t>
                              </w:r>
                            </w:hyperlink>
                            <w:hyperlink w:anchor="toc849638_6">
                              <w:r>
                                <w:rPr>
                                  <w:rStyle w:val="InternetLink"/>
                                  <w:sz w:val="20"/>
                                  <w:u w:val="single"/>
                                </w:rPr>
                                <w:t>INANCIAL</w:t>
                              </w:r>
                            </w:hyperlink>
                            <w:hyperlink w:anchor="toc849638_6">
                              <w:r>
                                <w:rPr>
                                  <w:rStyle w:val="InternetLink"/>
                                </w:rPr>
                                <w:t xml:space="preserve"> H</w:t>
                              </w:r>
                            </w:hyperlink>
                            <w:hyperlink w:anchor="toc849638_6">
                              <w:r>
                                <w:rPr>
                                  <w:rStyle w:val="InternetLink"/>
                                  <w:sz w:val="20"/>
                                  <w:u w:val="single"/>
                                </w:rPr>
                                <w:t>IGHLIGHTS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7">
                              <w:r>
                                <w:rPr>
                                  <w:rStyle w:val="InternetLink"/>
                                </w:rPr>
                                <w:t>C</w:t>
                              </w:r>
                            </w:hyperlink>
                            <w:hyperlink w:anchor="toc849638_7">
                              <w:r>
                                <w:rPr>
                                  <w:rStyle w:val="InternetLink"/>
                                  <w:sz w:val="20"/>
                                  <w:u w:val="single"/>
                                </w:rPr>
                                <w:t>ORPORATE</w:t>
                              </w:r>
                            </w:hyperlink>
                            <w:hyperlink w:anchor="toc849638_7">
                              <w:r>
                                <w:rPr>
                                  <w:rStyle w:val="InternetLink"/>
                                </w:rPr>
                                <w:t xml:space="preserve"> R</w:t>
                              </w:r>
                            </w:hyperlink>
                            <w:hyperlink w:anchor="toc849638_7">
                              <w:r>
                                <w:rPr>
                                  <w:rStyle w:val="InternetLink"/>
                                  <w:sz w:val="20"/>
                                  <w:u w:val="single"/>
                                </w:rPr>
                                <w:t>ESPONSIBILITY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8">
                              <w:r>
                                <w:rPr>
                                  <w:rStyle w:val="InternetLink"/>
                                </w:rPr>
                                <w:t>B</w:t>
                              </w:r>
                            </w:hyperlink>
                            <w:hyperlink w:anchor="toc849638_8">
                              <w:r>
                                <w:rPr>
                                  <w:rStyle w:val="InternetLink"/>
                                  <w:sz w:val="20"/>
                                  <w:u w:val="single"/>
                                </w:rPr>
                                <w:t>OARD</w:t>
                              </w:r>
                            </w:hyperlink>
                            <w:hyperlink w:anchor="toc849638_8">
                              <w:r>
                                <w:rPr>
                                  <w:rStyle w:val="InternetLink"/>
                                </w:rPr>
                                <w:t xml:space="preserve"> </w:t>
                              </w:r>
                            </w:hyperlink>
                            <w:hyperlink w:anchor="toc849638_8">
                              <w:r>
                                <w:rPr>
                                  <w:rStyle w:val="InternetLink"/>
                                  <w:sz w:val="20"/>
                                  <w:u w:val="single"/>
                                </w:rPr>
                                <w:t>OF</w:t>
                              </w:r>
                            </w:hyperlink>
                            <w:hyperlink w:anchor="toc849638_8">
                              <w:r>
                                <w:rPr>
                                  <w:rStyle w:val="InternetLink"/>
                                </w:rPr>
                                <w:t xml:space="preserve"> D</w:t>
                              </w:r>
                            </w:hyperlink>
                            <w:hyperlink w:anchor="toc849638_8">
                              <w:r>
                                <w:rPr>
                                  <w:rStyle w:val="InternetLink"/>
                                  <w:sz w:val="20"/>
                                  <w:u w:val="single"/>
                                </w:rPr>
                                <w:t>IRECTORS</w:t>
                              </w:r>
                            </w:hyperlink>
                            <w:hyperlink w:anchor="toc849638_8">
                              <w:r>
                                <w:rPr>
                                  <w:rStyle w:val="InternetLink"/>
                                </w:rPr>
                                <w:t xml:space="preserve"> C</w:t>
                              </w:r>
                            </w:hyperlink>
                            <w:hyperlink w:anchor="toc849638_8">
                              <w:r>
                                <w:rPr>
                                  <w:rStyle w:val="InternetLink"/>
                                  <w:sz w:val="20"/>
                                  <w:u w:val="single"/>
                                </w:rPr>
                                <w:t>OMPOSITION</w:t>
                              </w:r>
                            </w:hyperlink>
                            <w:hyperlink w:anchor="toc849638_8">
                              <w:r>
                                <w:rPr>
                                  <w:rStyle w:val="InternetLink"/>
                                </w:rPr>
                                <w:t xml:space="preserve"> </w:t>
                              </w:r>
                            </w:hyperlink>
                            <w:hyperlink w:anchor="toc849638_8">
                              <w:r>
                                <w:rPr>
                                  <w:rStyle w:val="InternetLink"/>
                                  <w:sz w:val="20"/>
                                  <w:u w:val="single"/>
                                </w:rPr>
                                <w:t>AND</w:t>
                              </w:r>
                            </w:hyperlink>
                            <w:hyperlink w:anchor="toc849638_8">
                              <w:r>
                                <w:rPr>
                                  <w:rStyle w:val="InternetLink"/>
                                </w:rPr>
                                <w:t xml:space="preserve"> Q</w:t>
                              </w:r>
                            </w:hyperlink>
                            <w:hyperlink w:anchor="toc849638_8">
                              <w:r>
                                <w:rPr>
                                  <w:rStyle w:val="InternetLink"/>
                                  <w:sz w:val="20"/>
                                  <w:u w:val="single"/>
                                </w:rPr>
                                <w:t>UALIFICATIONS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0">
                              <w:r>
                                <w:rPr>
                                  <w:rStyle w:val="InternetLink"/>
                                </w:rPr>
                                <w:t>2024 E</w:t>
                              </w:r>
                            </w:hyperlink>
                            <w:hyperlink w:anchor="toc849638_10">
                              <w:r>
                                <w:rPr>
                                  <w:rStyle w:val="InternetLink"/>
                                  <w:sz w:val="20"/>
                                  <w:u w:val="single"/>
                                </w:rPr>
                                <w:t>XECUTIVE</w:t>
                              </w:r>
                            </w:hyperlink>
                            <w:hyperlink w:anchor="toc849638_10">
                              <w:r>
                                <w:rPr>
                                  <w:rStyle w:val="InternetLink"/>
                                </w:rPr>
                                <w:t xml:space="preserve"> C</w:t>
                              </w:r>
                            </w:hyperlink>
                            <w:hyperlink w:anchor="toc849638_10">
                              <w:r>
                                <w:rPr>
                                  <w:rStyle w:val="InternetLink"/>
                                  <w:sz w:val="20"/>
                                  <w:u w:val="single"/>
                                </w:rPr>
                                <w:t>OMPENSATION</w:t>
                              </w:r>
                            </w:hyperlink>
                            <w:hyperlink w:anchor="toc849638_10">
                              <w:r>
                                <w:rPr>
                                  <w:rStyle w:val="InternetLink"/>
                                </w:rPr>
                                <w:t xml:space="preserve"> </w:t>
                              </w:r>
                            </w:hyperlink>
                            <w:hyperlink w:anchor="toc849638_10">
                              <w:r>
                                <w:rPr>
                                  <w:rStyle w:val="InternetLink"/>
                                  <w:sz w:val="20"/>
                                  <w:u w:val="single"/>
                                </w:rPr>
                                <w:t>AT</w:t>
                              </w:r>
                            </w:hyperlink>
                            <w:hyperlink w:anchor="toc849638_10">
                              <w:r>
                                <w:rPr>
                                  <w:rStyle w:val="InternetLink"/>
                                </w:rPr>
                                <w:t xml:space="preserve"> </w:t>
                              </w:r>
                            </w:hyperlink>
                            <w:hyperlink w:anchor="toc849638_10">
                              <w:r>
                                <w:rPr>
                                  <w:rStyle w:val="InternetLink"/>
                                  <w:sz w:val="20"/>
                                  <w:u w:val="single"/>
                                </w:rPr>
                                <w:t>A</w:t>
                              </w:r>
                            </w:hyperlink>
                            <w:hyperlink w:anchor="toc849638_10">
                              <w:r>
                                <w:rPr>
                                  <w:rStyle w:val="InternetLink"/>
                                </w:rPr>
                                <w:t xml:space="preserve"> G</w:t>
                              </w:r>
                            </w:hyperlink>
                            <w:hyperlink w:anchor="toc849638_10">
                              <w:r>
                                <w:rPr>
                                  <w:rStyle w:val="InternetLink"/>
                                  <w:sz w:val="20"/>
                                  <w:u w:val="single"/>
                                </w:rPr>
                                <w:t>LANCE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1">
                              <w:r>
                                <w:rPr>
                                  <w:rStyle w:val="InternetLink"/>
                                </w:rPr>
                                <w:t>K</w:t>
                              </w:r>
                            </w:hyperlink>
                            <w:hyperlink w:anchor="toc849638_11">
                              <w:r>
                                <w:rPr>
                                  <w:rStyle w:val="InternetLink"/>
                                  <w:sz w:val="20"/>
                                  <w:u w:val="single"/>
                                </w:rPr>
                                <w:t>EY</w:t>
                              </w:r>
                            </w:hyperlink>
                            <w:hyperlink w:anchor="toc849638_11">
                              <w:r>
                                <w:rPr>
                                  <w:rStyle w:val="InternetLink"/>
                                </w:rPr>
                                <w:t xml:space="preserve"> C</w:t>
                              </w:r>
                            </w:hyperlink>
                            <w:hyperlink w:anchor="toc849638_11">
                              <w:r>
                                <w:rPr>
                                  <w:rStyle w:val="InternetLink"/>
                                  <w:sz w:val="20"/>
                                  <w:u w:val="single"/>
                                </w:rPr>
                                <w:t>OMPENSATION</w:t>
                              </w:r>
                            </w:hyperlink>
                            <w:hyperlink w:anchor="toc849638_11">
                              <w:r>
                                <w:rPr>
                                  <w:rStyle w:val="InternetLink"/>
                                </w:rPr>
                                <w:t xml:space="preserve"> P</w:t>
                              </w:r>
                            </w:hyperlink>
                            <w:hyperlink w:anchor="toc849638_11">
                              <w:r>
                                <w:rPr>
                                  <w:rStyle w:val="InternetLink"/>
                                  <w:sz w:val="20"/>
                                  <w:u w:val="single"/>
                                </w:rPr>
                                <w:t>RACTICES</w:t>
                              </w:r>
                            </w:hyperlink>
                            <w:hyperlink w:anchor="toc849638_11">
                              <w:r>
                                <w:rPr>
                                  <w:rStyle w:val="InternetLink"/>
                                </w:rPr>
                                <w:t xml:space="preserve"> </w:t>
                              </w:r>
                            </w:hyperlink>
                            <w:hyperlink w:anchor="toc849638_11">
                              <w:r>
                                <w:rPr>
                                  <w:rStyle w:val="InternetLink"/>
                                  <w:sz w:val="20"/>
                                  <w:u w:val="single"/>
                                </w:rPr>
                                <w:t>FOR</w:t>
                              </w:r>
                            </w:hyperlink>
                            <w:hyperlink w:anchor="toc849638_11">
                              <w:r>
                                <w:rPr>
                                  <w:rStyle w:val="InternetLink"/>
                                </w:rPr>
                                <w:t xml:space="preserve"> E</w:t>
                              </w:r>
                            </w:hyperlink>
                            <w:hyperlink w:anchor="toc849638_11">
                              <w:r>
                                <w:rPr>
                                  <w:rStyle w:val="InternetLink"/>
                                  <w:sz w:val="20"/>
                                  <w:u w:val="single"/>
                                </w:rPr>
                                <w:t>XECUTIVES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2">
                              <w:r>
                                <w:rPr>
                                  <w:rStyle w:val="InternetLink"/>
                                  <w:b/>
                                  <w:color w:val="1070B8"/>
                                </w:rPr>
                                <w:t>PROPOSAL 1 – ELECTION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9</w:t>
                            </w:r>
                          </w:p>
                        </w:tc>
                        <w:tc>
                          <w:tcPr>
                            <w:tcW w:w="75" w:type="dxa"/>
                            <w:tcBorders/>
                            <w:vAlign w:val="center"/>
                          </w:tcPr>
                          <w:p>
                            <w:pPr>
                              <w:pStyle w:val="TableContents"/>
                              <w:bidi w:val="0"/>
                              <w:spacing w:before="0" w:after="283"/>
                              <w:jc w:val="left"/>
                              <w:rPr>
                                <w:color w:val="1070B8"/>
                              </w:rPr>
                            </w:pPr>
                            <w:r>
                              <w:rPr>
                                <w:color w:val="1070B8"/>
                              </w:rPr>
                              <w:t> </w:t>
                            </w:r>
                          </w:p>
                        </w:tc>
                      </w:tr>
                      <w:tr>
                        <w:trPr/>
                        <w:tc>
                          <w:tcPr>
                            <w:tcW w:w="9750" w:type="dxa"/>
                            <w:tcBorders/>
                            <w:vAlign w:val="center"/>
                          </w:tcPr>
                          <w:p>
                            <w:pPr>
                              <w:pStyle w:val="TableContents"/>
                              <w:bidi w:val="0"/>
                              <w:spacing w:before="0" w:after="283"/>
                              <w:jc w:val="left"/>
                              <w:rPr/>
                            </w:pPr>
                            <w:hyperlink w:anchor="toc849638_13">
                              <w:r>
                                <w:rPr>
                                  <w:rStyle w:val="InternetLink"/>
                                </w:rPr>
                                <w:t>O</w:t>
                              </w:r>
                            </w:hyperlink>
                            <w:hyperlink w:anchor="toc849638_13">
                              <w:r>
                                <w:rPr>
                                  <w:rStyle w:val="InternetLink"/>
                                  <w:sz w:val="20"/>
                                  <w:u w:val="single"/>
                                </w:rPr>
                                <w:t>VERVIEW</w:t>
                              </w:r>
                            </w:hyperlink>
                            <w:hyperlink w:anchor="toc849638_13">
                              <w:r>
                                <w:rPr>
                                  <w:rStyle w:val="InternetLink"/>
                                </w:rPr>
                                <w:t xml:space="preserve"> </w:t>
                              </w:r>
                            </w:hyperlink>
                            <w:hyperlink w:anchor="toc849638_13">
                              <w:r>
                                <w:rPr>
                                  <w:rStyle w:val="InternetLink"/>
                                  <w:sz w:val="20"/>
                                  <w:u w:val="single"/>
                                </w:rPr>
                                <w:t>OF</w:t>
                              </w:r>
                            </w:hyperlink>
                            <w:hyperlink w:anchor="toc849638_13">
                              <w:r>
                                <w:rPr>
                                  <w:rStyle w:val="InternetLink"/>
                                </w:rPr>
                                <w:t xml:space="preserve"> </w:t>
                              </w:r>
                            </w:hyperlink>
                            <w:hyperlink w:anchor="toc849638_13">
                              <w:r>
                                <w:rPr>
                                  <w:rStyle w:val="InternetLink"/>
                                  <w:sz w:val="20"/>
                                  <w:u w:val="single"/>
                                </w:rPr>
                                <w:t>THE</w:t>
                              </w:r>
                            </w:hyperlink>
                            <w:hyperlink w:anchor="toc849638_13">
                              <w:r>
                                <w:rPr>
                                  <w:rStyle w:val="InternetLink"/>
                                </w:rPr>
                                <w:t xml:space="preserve"> B</w:t>
                              </w:r>
                            </w:hyperlink>
                            <w:hyperlink w:anchor="toc849638_13">
                              <w:r>
                                <w:rPr>
                                  <w:rStyle w:val="InternetLink"/>
                                  <w:sz w:val="20"/>
                                  <w:u w:val="single"/>
                                </w:rPr>
                                <w:t>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4">
                              <w:r>
                                <w:rPr>
                                  <w:rStyle w:val="InternetLink"/>
                                </w:rPr>
                                <w:t>D</w:t>
                              </w:r>
                            </w:hyperlink>
                            <w:hyperlink w:anchor="toc849638_14">
                              <w:r>
                                <w:rPr>
                                  <w:rStyle w:val="InternetLink"/>
                                  <w:sz w:val="20"/>
                                  <w:u w:val="single"/>
                                </w:rPr>
                                <w:t>IRECTOR</w:t>
                              </w:r>
                            </w:hyperlink>
                            <w:hyperlink w:anchor="toc849638_14">
                              <w:r>
                                <w:rPr>
                                  <w:rStyle w:val="InternetLink"/>
                                </w:rPr>
                                <w:t xml:space="preserve"> Q</w:t>
                              </w:r>
                            </w:hyperlink>
                            <w:hyperlink w:anchor="toc849638_14">
                              <w:r>
                                <w:rPr>
                                  <w:rStyle w:val="InternetLink"/>
                                  <w:sz w:val="20"/>
                                  <w:u w:val="single"/>
                                </w:rPr>
                                <w:t>UALIFICATIONS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5">
                              <w:r>
                                <w:rPr>
                                  <w:rStyle w:val="InternetLink"/>
                                </w:rPr>
                                <w:t>B</w:t>
                              </w:r>
                            </w:hyperlink>
                            <w:hyperlink w:anchor="toc849638_15">
                              <w:r>
                                <w:rPr>
                                  <w:rStyle w:val="InternetLink"/>
                                  <w:sz w:val="20"/>
                                  <w:u w:val="single"/>
                                </w:rPr>
                                <w:t>OARD</w:t>
                              </w:r>
                            </w:hyperlink>
                            <w:hyperlink w:anchor="toc849638_15">
                              <w:r>
                                <w:rPr>
                                  <w:rStyle w:val="InternetLink"/>
                                </w:rPr>
                                <w:t xml:space="preserve"> S</w:t>
                              </w:r>
                            </w:hyperlink>
                            <w:hyperlink w:anchor="toc849638_15">
                              <w:r>
                                <w:rPr>
                                  <w:rStyle w:val="InternetLink"/>
                                  <w:sz w:val="20"/>
                                  <w:u w:val="single"/>
                                </w:rPr>
                                <w:t>KILL</w:t>
                              </w:r>
                            </w:hyperlink>
                            <w:hyperlink w:anchor="toc849638_15">
                              <w:r>
                                <w:rPr>
                                  <w:rStyle w:val="InternetLink"/>
                                </w:rPr>
                                <w:t xml:space="preserve"> M</w:t>
                              </w:r>
                            </w:hyperlink>
                            <w:hyperlink w:anchor="toc849638_15">
                              <w:r>
                                <w:rPr>
                                  <w:rStyle w:val="InternetLink"/>
                                  <w:sz w:val="20"/>
                                  <w:u w:val="single"/>
                                </w:rPr>
                                <w:t>ATRIX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7">
                              <w:r>
                                <w:rPr>
                                  <w:rStyle w:val="InternetLink"/>
                                </w:rPr>
                                <w:t>B</w:t>
                              </w:r>
                            </w:hyperlink>
                            <w:hyperlink w:anchor="toc849638_17">
                              <w:r>
                                <w:rPr>
                                  <w:rStyle w:val="InternetLink"/>
                                  <w:sz w:val="20"/>
                                  <w:u w:val="single"/>
                                </w:rPr>
                                <w:t>OARD</w:t>
                              </w:r>
                            </w:hyperlink>
                            <w:hyperlink w:anchor="toc849638_17">
                              <w:r>
                                <w:rPr>
                                  <w:rStyle w:val="InternetLink"/>
                                </w:rPr>
                                <w:t xml:space="preserve"> C</w:t>
                              </w:r>
                            </w:hyperlink>
                            <w:hyperlink w:anchor="toc849638_17">
                              <w:r>
                                <w:rPr>
                                  <w:rStyle w:val="InternetLink"/>
                                  <w:sz w:val="20"/>
                                  <w:u w:val="single"/>
                                </w:rPr>
                                <w:t>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8">
                              <w:r>
                                <w:rPr>
                                  <w:rStyle w:val="InternetLink"/>
                                </w:rPr>
                                <w:t>D</w:t>
                              </w:r>
                            </w:hyperlink>
                            <w:hyperlink w:anchor="toc849638_18">
                              <w:r>
                                <w:rPr>
                                  <w:rStyle w:val="InternetLink"/>
                                  <w:sz w:val="20"/>
                                  <w:u w:val="single"/>
                                </w:rPr>
                                <w:t>IRECTOR</w:t>
                              </w:r>
                            </w:hyperlink>
                            <w:hyperlink w:anchor="toc849638_18">
                              <w:r>
                                <w:rPr>
                                  <w:rStyle w:val="InternetLink"/>
                                </w:rPr>
                                <w:t xml:space="preserve"> S</w:t>
                              </w:r>
                            </w:hyperlink>
                            <w:hyperlink w:anchor="toc849638_18">
                              <w:r>
                                <w:rPr>
                                  <w:rStyle w:val="InternetLink"/>
                                  <w:sz w:val="20"/>
                                  <w:u w:val="single"/>
                                </w:rPr>
                                <w:t>KILLS</w:t>
                              </w:r>
                            </w:hyperlink>
                            <w:hyperlink w:anchor="toc849638_18">
                              <w:r>
                                <w:rPr>
                                  <w:rStyle w:val="InternetLink"/>
                                </w:rPr>
                                <w:t>, E</w:t>
                              </w:r>
                            </w:hyperlink>
                            <w:hyperlink w:anchor="toc849638_18">
                              <w:r>
                                <w:rPr>
                                  <w:rStyle w:val="InternetLink"/>
                                  <w:sz w:val="20"/>
                                  <w:u w:val="single"/>
                                </w:rPr>
                                <w:t>XPERIENCE</w:t>
                              </w:r>
                            </w:hyperlink>
                            <w:hyperlink w:anchor="toc849638_18">
                              <w:r>
                                <w:rPr>
                                  <w:rStyle w:val="InternetLink"/>
                                </w:rPr>
                                <w:t xml:space="preserve"> </w:t>
                              </w:r>
                            </w:hyperlink>
                            <w:hyperlink w:anchor="toc849638_18">
                              <w:r>
                                <w:rPr>
                                  <w:rStyle w:val="InternetLink"/>
                                  <w:sz w:val="20"/>
                                  <w:u w:val="single"/>
                                </w:rPr>
                                <w:t>AND</w:t>
                              </w:r>
                            </w:hyperlink>
                            <w:hyperlink w:anchor="toc849638_18">
                              <w:r>
                                <w:rPr>
                                  <w:rStyle w:val="InternetLink"/>
                                </w:rPr>
                                <w:t xml:space="preserve"> B</w:t>
                              </w:r>
                            </w:hyperlink>
                            <w:hyperlink w:anchor="toc849638_18">
                              <w:r>
                                <w:rPr>
                                  <w:rStyle w:val="InternetLink"/>
                                  <w:sz w:val="20"/>
                                  <w:u w:val="single"/>
                                </w:rPr>
                                <w:t>ACKGROUND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19">
                              <w:r>
                                <w:rPr>
                                  <w:rStyle w:val="InternetLink"/>
                                </w:rPr>
                                <w:t>D</w:t>
                              </w:r>
                            </w:hyperlink>
                            <w:hyperlink w:anchor="toc849638_19">
                              <w:r>
                                <w:rPr>
                                  <w:rStyle w:val="InternetLink"/>
                                  <w:sz w:val="20"/>
                                  <w:u w:val="single"/>
                                </w:rPr>
                                <w:t>IRECTOR</w:t>
                              </w:r>
                            </w:hyperlink>
                            <w:hyperlink w:anchor="toc849638_19">
                              <w:r>
                                <w:rPr>
                                  <w:rStyle w:val="InternetLink"/>
                                </w:rPr>
                                <w:t xml:space="preserve"> C</w:t>
                              </w:r>
                            </w:hyperlink>
                            <w:hyperlink w:anchor="toc849638_19">
                              <w:r>
                                <w:rPr>
                                  <w:rStyle w:val="InternetLink"/>
                                  <w:sz w:val="20"/>
                                  <w:u w:val="single"/>
                                </w:rPr>
                                <w:t>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0">
                              <w:r>
                                <w:rPr>
                                  <w:rStyle w:val="InternetLink"/>
                                </w:rPr>
                                <w:t>D</w:t>
                              </w:r>
                            </w:hyperlink>
                            <w:hyperlink w:anchor="toc849638_20">
                              <w:r>
                                <w:rPr>
                                  <w:rStyle w:val="InternetLink"/>
                                  <w:sz w:val="20"/>
                                  <w:u w:val="single"/>
                                </w:rPr>
                                <w:t>IRECTOR</w:t>
                              </w:r>
                            </w:hyperlink>
                            <w:hyperlink w:anchor="toc849638_20">
                              <w:r>
                                <w:rPr>
                                  <w:rStyle w:val="InternetLink"/>
                                </w:rPr>
                                <w:t xml:space="preserve"> C</w:t>
                              </w:r>
                            </w:hyperlink>
                            <w:hyperlink w:anchor="toc849638_20">
                              <w:r>
                                <w:rPr>
                                  <w:rStyle w:val="InternetLink"/>
                                  <w:sz w:val="20"/>
                                  <w:u w:val="single"/>
                                </w:rPr>
                                <w:t>OMPENSATION</w:t>
                              </w:r>
                            </w:hyperlink>
                            <w:hyperlink w:anchor="toc849638_20">
                              <w:r>
                                <w:rPr>
                                  <w:rStyle w:val="InternetLink"/>
                                </w:rPr>
                                <w:t xml:space="preserve"> T</w:t>
                              </w:r>
                            </w:hyperlink>
                            <w:hyperlink w:anchor="toc849638_20">
                              <w:r>
                                <w:rPr>
                                  <w:rStyle w:val="InternetLink"/>
                                  <w:sz w:val="20"/>
                                  <w:u w:val="single"/>
                                </w:rPr>
                                <w: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1">
                              <w:r>
                                <w:rPr>
                                  <w:rStyle w:val="InternetLink"/>
                                </w:rPr>
                                <w:t>D</w:t>
                              </w:r>
                            </w:hyperlink>
                            <w:hyperlink w:anchor="toc849638_21">
                              <w:r>
                                <w:rPr>
                                  <w:rStyle w:val="InternetLink"/>
                                  <w:sz w:val="20"/>
                                  <w:u w:val="single"/>
                                </w:rPr>
                                <w:t>IRECTOR</w:t>
                              </w:r>
                            </w:hyperlink>
                            <w:hyperlink w:anchor="toc849638_21">
                              <w:r>
                                <w:rPr>
                                  <w:rStyle w:val="InternetLink"/>
                                </w:rPr>
                                <w:t xml:space="preserve"> S</w:t>
                              </w:r>
                            </w:hyperlink>
                            <w:hyperlink w:anchor="toc849638_21">
                              <w:r>
                                <w:rPr>
                                  <w:rStyle w:val="InternetLink"/>
                                  <w:sz w:val="20"/>
                                  <w:u w:val="single"/>
                                </w:rPr>
                                <w:t>TOCK</w:t>
                              </w:r>
                            </w:hyperlink>
                            <w:hyperlink w:anchor="toc849638_21">
                              <w:r>
                                <w:rPr>
                                  <w:rStyle w:val="InternetLink"/>
                                </w:rPr>
                                <w:t xml:space="preserve"> O</w:t>
                              </w:r>
                            </w:hyperlink>
                            <w:hyperlink w:anchor="toc849638_21">
                              <w:r>
                                <w:rPr>
                                  <w:rStyle w:val="InternetLink"/>
                                  <w:sz w:val="20"/>
                                  <w:u w:val="single"/>
                                </w:rPr>
                                <w:t>WNERSHIP</w:t>
                              </w:r>
                            </w:hyperlink>
                            <w:hyperlink w:anchor="toc849638_21">
                              <w:r>
                                <w:rPr>
                                  <w:rStyle w:val="InternetLink"/>
                                </w:rPr>
                                <w:t xml:space="preserve"> P</w:t>
                              </w:r>
                            </w:hyperlink>
                            <w:hyperlink w:anchor="toc849638_21">
                              <w:r>
                                <w:rPr>
                                  <w:rStyle w:val="InternetLink"/>
                                  <w:sz w:val="20"/>
                                  <w:u w:val="single"/>
                                </w:rPr>
                                <w:t>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2">
                              <w:r>
                                <w:rPr>
                                  <w:rStyle w:val="InternetLink"/>
                                </w:rPr>
                                <w:t>R</w:t>
                              </w:r>
                            </w:hyperlink>
                            <w:hyperlink w:anchor="toc849638_22">
                              <w:r>
                                <w:rPr>
                                  <w:rStyle w:val="InternetLink"/>
                                  <w:sz w:val="20"/>
                                  <w:u w:val="single"/>
                                </w:rPr>
                                <w:t>EQUIRED</w:t>
                              </w:r>
                            </w:hyperlink>
                            <w:hyperlink w:anchor="toc849638_22">
                              <w:r>
                                <w:rPr>
                                  <w:rStyle w:val="InternetLink"/>
                                </w:rPr>
                                <w:t xml:space="preserve"> V</w:t>
                              </w:r>
                            </w:hyperlink>
                            <w:hyperlink w:anchor="toc849638_22">
                              <w:r>
                                <w:rPr>
                                  <w:rStyle w:val="InternetLink"/>
                                  <w:sz w:val="20"/>
                                  <w:u w:val="single"/>
                                </w:rPr>
                                <w:t>OTE</w:t>
                              </w:r>
                            </w:hyperlink>
                            <w:hyperlink w:anchor="toc849638_22">
                              <w:r>
                                <w:rPr>
                                  <w:rStyle w:val="InternetLink"/>
                                </w:rPr>
                                <w:t xml:space="preserve"> </w:t>
                              </w:r>
                            </w:hyperlink>
                            <w:hyperlink w:anchor="toc849638_22">
                              <w:r>
                                <w:rPr>
                                  <w:rStyle w:val="InternetLink"/>
                                  <w:sz w:val="20"/>
                                  <w:u w:val="single"/>
                                </w:rPr>
                                <w:t>AND</w:t>
                              </w:r>
                            </w:hyperlink>
                            <w:hyperlink w:anchor="toc849638_22">
                              <w:r>
                                <w:rPr>
                                  <w:rStyle w:val="InternetLink"/>
                                </w:rPr>
                                <w:t xml:space="preserve"> R</w:t>
                              </w:r>
                            </w:hyperlink>
                            <w:hyperlink w:anchor="toc849638_22">
                              <w:r>
                                <w:rPr>
                                  <w:rStyle w:val="InternetLink"/>
                                  <w:sz w:val="20"/>
                                  <w:u w:val="single"/>
                                </w:rPr>
                                <w:t>ECOMMENDATION</w:t>
                              </w:r>
                            </w:hyperlink>
                            <w:hyperlink w:anchor="toc849638_22">
                              <w:r>
                                <w:rPr>
                                  <w:rStyle w:val="InternetLink"/>
                                </w:rPr>
                                <w:t xml:space="preserve"> </w:t>
                              </w:r>
                            </w:hyperlink>
                            <w:hyperlink w:anchor="toc849638_22">
                              <w:r>
                                <w:rPr>
                                  <w:rStyle w:val="InternetLink"/>
                                  <w:sz w:val="20"/>
                                  <w:u w:val="single"/>
                                </w:rPr>
                                <w:t>OF</w:t>
                              </w:r>
                            </w:hyperlink>
                            <w:hyperlink w:anchor="toc849638_22">
                              <w:r>
                                <w:rPr>
                                  <w:rStyle w:val="InternetLink"/>
                                </w:rPr>
                                <w:t xml:space="preserve"> </w:t>
                              </w:r>
                            </w:hyperlink>
                            <w:hyperlink w:anchor="toc849638_22">
                              <w:r>
                                <w:rPr>
                                  <w:rStyle w:val="InternetLink"/>
                                  <w:sz w:val="20"/>
                                  <w:u w:val="single"/>
                                </w:rPr>
                                <w:t>THE</w:t>
                              </w:r>
                            </w:hyperlink>
                            <w:hyperlink w:anchor="toc849638_22">
                              <w:r>
                                <w:rPr>
                                  <w:rStyle w:val="InternetLink"/>
                                </w:rPr>
                                <w:t xml:space="preserve"> B</w:t>
                              </w:r>
                            </w:hyperlink>
                            <w:hyperlink w:anchor="toc849638_22">
                              <w:r>
                                <w:rPr>
                                  <w:rStyle w:val="InternetLink"/>
                                  <w:sz w:val="20"/>
                                  <w:u w:val="single"/>
                                </w:rPr>
                                <w:t>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3">
                              <w:r>
                                <w:rPr>
                                  <w:rStyle w:val="InternetLink"/>
                                  <w:b/>
                                  <w:color w:val="1070B8"/>
                                </w:rPr>
                                <w:t>CORPORATE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23</w:t>
                            </w:r>
                          </w:p>
                        </w:tc>
                        <w:tc>
                          <w:tcPr>
                            <w:tcW w:w="75" w:type="dxa"/>
                            <w:tcBorders/>
                            <w:vAlign w:val="center"/>
                          </w:tcPr>
                          <w:p>
                            <w:pPr>
                              <w:pStyle w:val="TableContents"/>
                              <w:bidi w:val="0"/>
                              <w:spacing w:before="0" w:after="283"/>
                              <w:jc w:val="left"/>
                              <w:rPr>
                                <w:color w:val="1070B8"/>
                              </w:rPr>
                            </w:pPr>
                            <w:r>
                              <w:rPr>
                                <w:color w:val="1070B8"/>
                              </w:rPr>
                              <w:t> </w:t>
                            </w:r>
                          </w:p>
                        </w:tc>
                      </w:tr>
                      <w:tr>
                        <w:trPr/>
                        <w:tc>
                          <w:tcPr>
                            <w:tcW w:w="9750" w:type="dxa"/>
                            <w:tcBorders/>
                            <w:vAlign w:val="center"/>
                          </w:tcPr>
                          <w:p>
                            <w:pPr>
                              <w:pStyle w:val="TableContents"/>
                              <w:bidi w:val="0"/>
                              <w:spacing w:before="0" w:after="283"/>
                              <w:jc w:val="left"/>
                              <w:rPr/>
                            </w:pPr>
                            <w:hyperlink w:anchor="toc849638_24">
                              <w:r>
                                <w:rPr>
                                  <w:rStyle w:val="InternetLink"/>
                                </w:rPr>
                                <w:t>C</w:t>
                              </w:r>
                            </w:hyperlink>
                            <w:hyperlink w:anchor="toc849638_24">
                              <w:r>
                                <w:rPr>
                                  <w:rStyle w:val="InternetLink"/>
                                  <w:sz w:val="20"/>
                                  <w:u w:val="single"/>
                                </w:rPr>
                                <w:t>ORPORATE</w:t>
                              </w:r>
                            </w:hyperlink>
                            <w:hyperlink w:anchor="toc849638_24">
                              <w:r>
                                <w:rPr>
                                  <w:rStyle w:val="InternetLink"/>
                                </w:rPr>
                                <w:t xml:space="preserve"> G</w:t>
                              </w:r>
                            </w:hyperlink>
                            <w:hyperlink w:anchor="toc849638_24">
                              <w:r>
                                <w:rPr>
                                  <w:rStyle w:val="InternetLink"/>
                                  <w:sz w:val="20"/>
                                  <w:u w:val="single"/>
                                </w:rPr>
                                <w:t>OVERNANCE</w:t>
                              </w:r>
                            </w:hyperlink>
                            <w:hyperlink w:anchor="toc849638_24">
                              <w:r>
                                <w:rPr>
                                  <w:rStyle w:val="InternetLink"/>
                                </w:rPr>
                                <w:t xml:space="preserve"> H</w:t>
                              </w:r>
                            </w:hyperlink>
                            <w:hyperlink w:anchor="toc849638_24">
                              <w:r>
                                <w:rPr>
                                  <w:rStyle w:val="InternetLink"/>
                                  <w:sz w:val="20"/>
                                  <w:u w:val="single"/>
                                </w:rPr>
                                <w:t>IGHLIGHTS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5">
                              <w:r>
                                <w:rPr>
                                  <w:rStyle w:val="InternetLink"/>
                                </w:rPr>
                                <w:t>B</w:t>
                              </w:r>
                            </w:hyperlink>
                            <w:hyperlink w:anchor="toc849638_25">
                              <w:r>
                                <w:rPr>
                                  <w:rStyle w:val="InternetLink"/>
                                  <w:sz w:val="20"/>
                                  <w:u w:val="single"/>
                                </w:rPr>
                                <w:t>OARD</w:t>
                              </w:r>
                            </w:hyperlink>
                            <w:hyperlink w:anchor="toc849638_25">
                              <w:r>
                                <w:rPr>
                                  <w:rStyle w:val="InternetLink"/>
                                </w:rPr>
                                <w:t xml:space="preserve"> S</w:t>
                              </w:r>
                            </w:hyperlink>
                            <w:hyperlink w:anchor="toc849638_25">
                              <w:r>
                                <w:rPr>
                                  <w:rStyle w:val="InternetLink"/>
                                  <w:sz w:val="20"/>
                                  <w:u w:val="single"/>
                                </w:rPr>
                                <w:t>TRUCTURE</w:t>
                              </w:r>
                            </w:hyperlink>
                            <w:hyperlink w:anchor="toc849638_25">
                              <w:r>
                                <w:rPr>
                                  <w:rStyle w:val="InternetLink"/>
                                </w:rPr>
                                <w:t xml:space="preserve"> </w:t>
                              </w:r>
                            </w:hyperlink>
                            <w:hyperlink w:anchor="toc849638_25">
                              <w:r>
                                <w:rPr>
                                  <w:rStyle w:val="InternetLink"/>
                                  <w:sz w:val="20"/>
                                  <w:u w:val="single"/>
                                </w:rPr>
                                <w:t>AND</w:t>
                              </w:r>
                            </w:hyperlink>
                            <w:hyperlink w:anchor="toc849638_25">
                              <w:r>
                                <w:rPr>
                                  <w:rStyle w:val="InternetLink"/>
                                </w:rPr>
                                <w:t xml:space="preserve"> R</w:t>
                              </w:r>
                            </w:hyperlink>
                            <w:hyperlink w:anchor="toc849638_25">
                              <w:r>
                                <w:rPr>
                                  <w:rStyle w:val="InternetLink"/>
                                  <w:sz w:val="20"/>
                                  <w:u w:val="single"/>
                                </w:rPr>
                                <w:t>ESPONSIBILITIES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6">
                              <w:r>
                                <w:rPr>
                                  <w:rStyle w:val="InternetLink"/>
                                </w:rPr>
                                <w:t>B</w:t>
                              </w:r>
                            </w:hyperlink>
                            <w:hyperlink w:anchor="toc849638_26">
                              <w:r>
                                <w:rPr>
                                  <w:rStyle w:val="InternetLink"/>
                                  <w:sz w:val="20"/>
                                  <w:u w:val="single"/>
                                </w:rPr>
                                <w:t>OARD</w:t>
                              </w:r>
                            </w:hyperlink>
                            <w:hyperlink w:anchor="toc849638_26">
                              <w:r>
                                <w:rPr>
                                  <w:rStyle w:val="InternetLink"/>
                                </w:rPr>
                                <w:t xml:space="preserve"> L</w:t>
                              </w:r>
                            </w:hyperlink>
                            <w:hyperlink w:anchor="toc849638_26">
                              <w:r>
                                <w:rPr>
                                  <w:rStyle w:val="InternetLink"/>
                                  <w:sz w:val="20"/>
                                  <w:u w:val="single"/>
                                </w:rPr>
                                <w:t>EADERSHIP</w:t>
                              </w:r>
                            </w:hyperlink>
                            <w:hyperlink w:anchor="toc849638_26">
                              <w:r>
                                <w:rPr>
                                  <w:rStyle w:val="InternetLink"/>
                                </w:rPr>
                                <w:t xml:space="preserve"> S</w:t>
                              </w:r>
                            </w:hyperlink>
                            <w:hyperlink w:anchor="toc849638_26">
                              <w:r>
                                <w:rPr>
                                  <w:rStyle w:val="InternetLink"/>
                                  <w:sz w:val="20"/>
                                  <w:u w:val="single"/>
                                </w:rPr>
                                <w:t>TRUCTURE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7">
                              <w:r>
                                <w:rPr>
                                  <w:rStyle w:val="InternetLink"/>
                                </w:rPr>
                                <w:t>C</w:t>
                              </w:r>
                            </w:hyperlink>
                            <w:hyperlink w:anchor="toc849638_27">
                              <w:r>
                                <w:rPr>
                                  <w:rStyle w:val="InternetLink"/>
                                  <w:sz w:val="20"/>
                                  <w:u w:val="single"/>
                                </w:rPr>
                                <w:t>ORPORATE</w:t>
                              </w:r>
                            </w:hyperlink>
                            <w:hyperlink w:anchor="toc849638_27">
                              <w:r>
                                <w:rPr>
                                  <w:rStyle w:val="InternetLink"/>
                                </w:rPr>
                                <w:t xml:space="preserve"> G</w:t>
                              </w:r>
                            </w:hyperlink>
                            <w:hyperlink w:anchor="toc849638_27">
                              <w:r>
                                <w:rPr>
                                  <w:rStyle w:val="InternetLink"/>
                                  <w:sz w:val="20"/>
                                  <w:u w:val="single"/>
                                </w:rPr>
                                <w:t>OVERNANCE</w:t>
                              </w:r>
                            </w:hyperlink>
                            <w:hyperlink w:anchor="toc849638_27">
                              <w:r>
                                <w:rPr>
                                  <w:rStyle w:val="InternetLink"/>
                                </w:rPr>
                                <w:t xml:space="preserve"> G</w:t>
                              </w:r>
                            </w:hyperlink>
                            <w:hyperlink w:anchor="toc849638_27">
                              <w:r>
                                <w:rPr>
                                  <w:rStyle w:val="InternetLink"/>
                                  <w:sz w:val="20"/>
                                  <w:u w:val="single"/>
                                </w:rPr>
                                <w:t>UIDELINES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8">
                              <w:r>
                                <w:rPr>
                                  <w:rStyle w:val="InternetLink"/>
                                </w:rPr>
                                <w:t>S</w:t>
                              </w:r>
                            </w:hyperlink>
                            <w:hyperlink w:anchor="toc849638_28">
                              <w:r>
                                <w:rPr>
                                  <w:rStyle w:val="InternetLink"/>
                                  <w:sz w:val="20"/>
                                  <w:u w:val="single"/>
                                </w:rPr>
                                <w:t>UCCESSION</w:t>
                              </w:r>
                            </w:hyperlink>
                            <w:hyperlink w:anchor="toc849638_28">
                              <w:r>
                                <w:rPr>
                                  <w:rStyle w:val="InternetLink"/>
                                </w:rPr>
                                <w:t xml:space="preserve"> P</w:t>
                              </w:r>
                            </w:hyperlink>
                            <w:hyperlink w:anchor="toc849638_28">
                              <w:r>
                                <w:rPr>
                                  <w:rStyle w:val="InternetLink"/>
                                  <w:sz w:val="20"/>
                                  <w:u w:val="single"/>
                                </w:rPr>
                                <w:t>LANNING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29">
                              <w:r>
                                <w:rPr>
                                  <w:rStyle w:val="InternetLink"/>
                                </w:rPr>
                                <w:t>R</w:t>
                              </w:r>
                            </w:hyperlink>
                            <w:hyperlink w:anchor="toc849638_29">
                              <w:r>
                                <w:rPr>
                                  <w:rStyle w:val="InternetLink"/>
                                  <w:sz w:val="20"/>
                                  <w:u w:val="single"/>
                                </w:rPr>
                                <w:t>OLE</w:t>
                              </w:r>
                            </w:hyperlink>
                            <w:hyperlink w:anchor="toc849638_29">
                              <w:r>
                                <w:rPr>
                                  <w:rStyle w:val="InternetLink"/>
                                </w:rPr>
                                <w:t xml:space="preserve"> </w:t>
                              </w:r>
                            </w:hyperlink>
                            <w:hyperlink w:anchor="toc849638_29">
                              <w:r>
                                <w:rPr>
                                  <w:rStyle w:val="InternetLink"/>
                                  <w:sz w:val="20"/>
                                  <w:u w:val="single"/>
                                </w:rPr>
                                <w:t>OF</w:t>
                              </w:r>
                            </w:hyperlink>
                            <w:hyperlink w:anchor="toc849638_29">
                              <w:r>
                                <w:rPr>
                                  <w:rStyle w:val="InternetLink"/>
                                </w:rPr>
                                <w:t xml:space="preserve"> </w:t>
                              </w:r>
                            </w:hyperlink>
                            <w:hyperlink w:anchor="toc849638_29">
                              <w:r>
                                <w:rPr>
                                  <w:rStyle w:val="InternetLink"/>
                                  <w:sz w:val="20"/>
                                  <w:u w:val="single"/>
                                </w:rPr>
                                <w:t>THE</w:t>
                              </w:r>
                            </w:hyperlink>
                            <w:hyperlink w:anchor="toc849638_29">
                              <w:r>
                                <w:rPr>
                                  <w:rStyle w:val="InternetLink"/>
                                </w:rPr>
                                <w:t xml:space="preserve"> B</w:t>
                              </w:r>
                            </w:hyperlink>
                            <w:hyperlink w:anchor="toc849638_29">
                              <w:r>
                                <w:rPr>
                                  <w:rStyle w:val="InternetLink"/>
                                  <w:sz w:val="20"/>
                                  <w:u w:val="single"/>
                                </w:rPr>
                                <w:t>OARD</w:t>
                              </w:r>
                            </w:hyperlink>
                            <w:hyperlink w:anchor="toc849638_29">
                              <w:r>
                                <w:rPr>
                                  <w:rStyle w:val="InternetLink"/>
                                </w:rPr>
                                <w:t xml:space="preserve"> </w:t>
                              </w:r>
                            </w:hyperlink>
                            <w:hyperlink w:anchor="toc849638_29">
                              <w:r>
                                <w:rPr>
                                  <w:rStyle w:val="InternetLink"/>
                                  <w:sz w:val="20"/>
                                  <w:u w:val="single"/>
                                </w:rPr>
                                <w:t>IN</w:t>
                              </w:r>
                            </w:hyperlink>
                            <w:hyperlink w:anchor="toc849638_29">
                              <w:r>
                                <w:rPr>
                                  <w:rStyle w:val="InternetLink"/>
                                </w:rPr>
                                <w:t xml:space="preserve"> R</w:t>
                              </w:r>
                            </w:hyperlink>
                            <w:hyperlink w:anchor="toc849638_29">
                              <w:r>
                                <w:rPr>
                                  <w:rStyle w:val="InternetLink"/>
                                  <w:sz w:val="20"/>
                                  <w:u w:val="single"/>
                                </w:rPr>
                                <w:t>ISK</w:t>
                              </w:r>
                            </w:hyperlink>
                            <w:hyperlink w:anchor="toc849638_29">
                              <w:r>
                                <w:rPr>
                                  <w:rStyle w:val="InternetLink"/>
                                </w:rPr>
                                <w:t xml:space="preserve"> O</w:t>
                              </w:r>
                            </w:hyperlink>
                            <w:hyperlink w:anchor="toc849638_29">
                              <w:r>
                                <w:rPr>
                                  <w:rStyle w:val="InternetLink"/>
                                  <w:sz w:val="20"/>
                                  <w:u w:val="single"/>
                                </w:rPr>
                                <w:t>VERSIGHT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0">
                              <w:r>
                                <w:rPr>
                                  <w:rStyle w:val="InternetLink"/>
                                </w:rPr>
                                <w:t>C</w:t>
                              </w:r>
                            </w:hyperlink>
                            <w:hyperlink w:anchor="toc849638_30">
                              <w:r>
                                <w:rPr>
                                  <w:rStyle w:val="InternetLink"/>
                                  <w:sz w:val="20"/>
                                  <w:u w:val="single"/>
                                </w:rPr>
                                <w:t>YBERSECURITY</w:t>
                              </w:r>
                            </w:hyperlink>
                            <w:hyperlink w:anchor="toc849638_30">
                              <w:r>
                                <w:rPr>
                                  <w:rStyle w:val="InternetLink"/>
                                </w:rPr>
                                <w:t xml:space="preserve"> O</w:t>
                              </w:r>
                            </w:hyperlink>
                            <w:hyperlink w:anchor="toc849638_30">
                              <w:r>
                                <w:rPr>
                                  <w:rStyle w:val="InternetLink"/>
                                  <w:sz w:val="20"/>
                                  <w:u w:val="single"/>
                                </w:rPr>
                                <w:t>VERSIGHT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1">
                              <w:r>
                                <w:rPr>
                                  <w:rStyle w:val="InternetLink"/>
                                </w:rPr>
                                <w:t>C</w:t>
                              </w:r>
                            </w:hyperlink>
                            <w:hyperlink w:anchor="toc849638_31">
                              <w:r>
                                <w:rPr>
                                  <w:rStyle w:val="InternetLink"/>
                                  <w:sz w:val="20"/>
                                  <w:u w:val="single"/>
                                </w:rPr>
                                <w:t>ORPORATE</w:t>
                              </w:r>
                            </w:hyperlink>
                            <w:hyperlink w:anchor="toc849638_31">
                              <w:r>
                                <w:rPr>
                                  <w:rStyle w:val="InternetLink"/>
                                </w:rPr>
                                <w:t xml:space="preserve"> R</w:t>
                              </w:r>
                            </w:hyperlink>
                            <w:hyperlink w:anchor="toc849638_31">
                              <w:r>
                                <w:rPr>
                                  <w:rStyle w:val="InternetLink"/>
                                  <w:sz w:val="20"/>
                                  <w:u w:val="single"/>
                                </w:rPr>
                                <w:t>ESPONSIBILITY</w:t>
                              </w:r>
                            </w:hyperlink>
                            <w:hyperlink w:anchor="toc849638_31">
                              <w:r>
                                <w:rPr>
                                  <w:rStyle w:val="InternetLink"/>
                                </w:rPr>
                                <w:t xml:space="preserve"> O</w:t>
                              </w:r>
                            </w:hyperlink>
                            <w:hyperlink w:anchor="toc849638_31">
                              <w:r>
                                <w:rPr>
                                  <w:rStyle w:val="InternetLink"/>
                                  <w:sz w:val="20"/>
                                  <w:u w:val="single"/>
                                </w:rPr>
                                <w:t>VERSIGHT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2">
                              <w:r>
                                <w:rPr>
                                  <w:rStyle w:val="InternetLink"/>
                                </w:rPr>
                                <w:t>B</w:t>
                              </w:r>
                            </w:hyperlink>
                            <w:hyperlink w:anchor="toc849638_32">
                              <w:r>
                                <w:rPr>
                                  <w:rStyle w:val="InternetLink"/>
                                  <w:sz w:val="20"/>
                                  <w:u w:val="single"/>
                                </w:rPr>
                                <w:t>OARD</w:t>
                              </w:r>
                            </w:hyperlink>
                            <w:hyperlink w:anchor="toc849638_32">
                              <w:r>
                                <w:rPr>
                                  <w:rStyle w:val="InternetLink"/>
                                </w:rPr>
                                <w:t xml:space="preserve"> C</w:t>
                              </w:r>
                            </w:hyperlink>
                            <w:hyperlink w:anchor="toc849638_32">
                              <w:r>
                                <w:rPr>
                                  <w:rStyle w:val="InternetLink"/>
                                  <w:sz w:val="20"/>
                                  <w:u w:val="single"/>
                                </w:rPr>
                                <w:t>OMMITTEE</w:t>
                              </w:r>
                            </w:hyperlink>
                            <w:hyperlink w:anchor="toc849638_32">
                              <w:r>
                                <w:rPr>
                                  <w:rStyle w:val="InternetLink"/>
                                </w:rPr>
                                <w:t xml:space="preserve"> O</w:t>
                              </w:r>
                            </w:hyperlink>
                            <w:hyperlink w:anchor="toc849638_32">
                              <w:r>
                                <w:rPr>
                                  <w:rStyle w:val="InternetLink"/>
                                  <w:sz w:val="20"/>
                                  <w:u w:val="single"/>
                                </w:rPr>
                                <w:t>VERSIGHT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3">
                              <w:r>
                                <w:rPr>
                                  <w:rStyle w:val="InternetLink"/>
                                </w:rPr>
                                <w:t>D</w:t>
                              </w:r>
                            </w:hyperlink>
                            <w:hyperlink w:anchor="toc849638_33">
                              <w:r>
                                <w:rPr>
                                  <w:rStyle w:val="InternetLink"/>
                                  <w:sz w:val="20"/>
                                  <w:u w:val="single"/>
                                </w:rPr>
                                <w:t>IRECTOR</w:t>
                              </w:r>
                            </w:hyperlink>
                            <w:hyperlink w:anchor="toc849638_33">
                              <w:r>
                                <w:rPr>
                                  <w:rStyle w:val="InternetLink"/>
                                </w:rPr>
                                <w:t xml:space="preserve"> I</w:t>
                              </w:r>
                            </w:hyperlink>
                            <w:hyperlink w:anchor="toc849638_33">
                              <w:r>
                                <w:rPr>
                                  <w:rStyle w:val="InternetLink"/>
                                  <w:sz w:val="20"/>
                                  <w:u w:val="single"/>
                                </w:rPr>
                                <w:t>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4">
                              <w:r>
                                <w:rPr>
                                  <w:rStyle w:val="InternetLink"/>
                                </w:rPr>
                                <w:t>A</w:t>
                              </w:r>
                            </w:hyperlink>
                            <w:hyperlink w:anchor="toc849638_34">
                              <w:r>
                                <w:rPr>
                                  <w:rStyle w:val="InternetLink"/>
                                  <w:sz w:val="20"/>
                                  <w:u w:val="single"/>
                                </w:rPr>
                                <w:t>NNUAL</w:t>
                              </w:r>
                            </w:hyperlink>
                            <w:hyperlink w:anchor="toc849638_34">
                              <w:r>
                                <w:rPr>
                                  <w:rStyle w:val="InternetLink"/>
                                </w:rPr>
                                <w:t xml:space="preserve"> B</w:t>
                              </w:r>
                            </w:hyperlink>
                            <w:hyperlink w:anchor="toc849638_34">
                              <w:r>
                                <w:rPr>
                                  <w:rStyle w:val="InternetLink"/>
                                  <w:sz w:val="20"/>
                                  <w:u w:val="single"/>
                                </w:rPr>
                                <w:t>OARD</w:t>
                              </w:r>
                            </w:hyperlink>
                            <w:hyperlink w:anchor="toc849638_34">
                              <w:r>
                                <w:rPr>
                                  <w:rStyle w:val="InternetLink"/>
                                </w:rPr>
                                <w:t xml:space="preserve"> </w:t>
                              </w:r>
                            </w:hyperlink>
                            <w:hyperlink w:anchor="toc849638_34">
                              <w:r>
                                <w:rPr>
                                  <w:rStyle w:val="InternetLink"/>
                                  <w:sz w:val="20"/>
                                  <w:u w:val="single"/>
                                </w:rPr>
                                <w:t>AND</w:t>
                              </w:r>
                            </w:hyperlink>
                            <w:hyperlink w:anchor="toc849638_34">
                              <w:r>
                                <w:rPr>
                                  <w:rStyle w:val="InternetLink"/>
                                </w:rPr>
                                <w:t xml:space="preserve"> C</w:t>
                              </w:r>
                            </w:hyperlink>
                            <w:hyperlink w:anchor="toc849638_34">
                              <w:r>
                                <w:rPr>
                                  <w:rStyle w:val="InternetLink"/>
                                  <w:sz w:val="20"/>
                                  <w:u w:val="single"/>
                                </w:rPr>
                                <w:t>OMMITTEE</w:t>
                              </w:r>
                            </w:hyperlink>
                            <w:hyperlink w:anchor="toc849638_34">
                              <w:r>
                                <w:rPr>
                                  <w:rStyle w:val="InternetLink"/>
                                </w:rPr>
                                <w:t xml:space="preserve"> S</w:t>
                              </w:r>
                            </w:hyperlink>
                            <w:hyperlink w:anchor="toc849638_34">
                              <w:r>
                                <w:rPr>
                                  <w:rStyle w:val="InternetLink"/>
                                  <w:sz w:val="20"/>
                                  <w:u w:val="single"/>
                                </w:rPr>
                                <w:t>ELF</w:t>
                              </w:r>
                            </w:hyperlink>
                            <w:hyperlink w:anchor="toc849638_34">
                              <w:r>
                                <w:rPr>
                                  <w:rStyle w:val="InternetLink"/>
                                </w:rPr>
                                <w:t>-A</w:t>
                              </w:r>
                            </w:hyperlink>
                            <w:hyperlink w:anchor="toc849638_34">
                              <w:r>
                                <w:rPr>
                                  <w:rStyle w:val="InternetLink"/>
                                  <w:sz w:val="20"/>
                                  <w:u w:val="single"/>
                                </w:rPr>
                                <w:t>SSESSMENTS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5">
                              <w:r>
                                <w:rPr>
                                  <w:rStyle w:val="InternetLink"/>
                                </w:rPr>
                                <w:t>M</w:t>
                              </w:r>
                            </w:hyperlink>
                            <w:hyperlink w:anchor="toc849638_35">
                              <w:r>
                                <w:rPr>
                                  <w:rStyle w:val="InternetLink"/>
                                  <w:sz w:val="20"/>
                                  <w:u w:val="single"/>
                                </w:rPr>
                                <w:t>EETINGS</w:t>
                              </w:r>
                            </w:hyperlink>
                            <w:hyperlink w:anchor="toc849638_35">
                              <w:r>
                                <w:rPr>
                                  <w:rStyle w:val="InternetLink"/>
                                </w:rPr>
                                <w:t xml:space="preserve"> </w:t>
                              </w:r>
                            </w:hyperlink>
                            <w:hyperlink w:anchor="toc849638_35">
                              <w:r>
                                <w:rPr>
                                  <w:rStyle w:val="InternetLink"/>
                                  <w:sz w:val="20"/>
                                  <w:u w:val="single"/>
                                </w:rPr>
                                <w:t>OF</w:t>
                              </w:r>
                            </w:hyperlink>
                            <w:hyperlink w:anchor="toc849638_35">
                              <w:r>
                                <w:rPr>
                                  <w:rStyle w:val="InternetLink"/>
                                </w:rPr>
                                <w:t xml:space="preserve"> </w:t>
                              </w:r>
                            </w:hyperlink>
                            <w:hyperlink w:anchor="toc849638_35">
                              <w:r>
                                <w:rPr>
                                  <w:rStyle w:val="InternetLink"/>
                                  <w:sz w:val="20"/>
                                  <w:u w:val="single"/>
                                </w:rPr>
                                <w:t>THE</w:t>
                              </w:r>
                            </w:hyperlink>
                            <w:hyperlink w:anchor="toc849638_35">
                              <w:r>
                                <w:rPr>
                                  <w:rStyle w:val="InternetLink"/>
                                </w:rPr>
                                <w:t xml:space="preserve"> B</w:t>
                              </w:r>
                            </w:hyperlink>
                            <w:hyperlink w:anchor="toc849638_35">
                              <w:r>
                                <w:rPr>
                                  <w:rStyle w:val="InternetLink"/>
                                  <w:sz w:val="20"/>
                                  <w:u w:val="single"/>
                                </w:rPr>
                                <w:t>OARD</w:t>
                              </w:r>
                            </w:hyperlink>
                            <w:hyperlink w:anchor="toc849638_35">
                              <w:r>
                                <w:rPr>
                                  <w:rStyle w:val="InternetLink"/>
                                </w:rPr>
                                <w:t xml:space="preserve"> </w:t>
                              </w:r>
                            </w:hyperlink>
                            <w:hyperlink w:anchor="toc849638_35">
                              <w:r>
                                <w:rPr>
                                  <w:rStyle w:val="InternetLink"/>
                                  <w:sz w:val="20"/>
                                  <w:u w:val="single"/>
                                </w:rPr>
                                <w:t>AND</w:t>
                              </w:r>
                            </w:hyperlink>
                            <w:hyperlink w:anchor="toc849638_35">
                              <w:r>
                                <w:rPr>
                                  <w:rStyle w:val="InternetLink"/>
                                </w:rPr>
                                <w:t xml:space="preserve"> D</w:t>
                              </w:r>
                            </w:hyperlink>
                            <w:hyperlink w:anchor="toc849638_35">
                              <w:r>
                                <w:rPr>
                                  <w:rStyle w:val="InternetLink"/>
                                  <w:sz w:val="20"/>
                                  <w:u w:val="single"/>
                                </w:rPr>
                                <w:t>IRECTOR</w:t>
                              </w:r>
                            </w:hyperlink>
                            <w:hyperlink w:anchor="toc849638_35">
                              <w:r>
                                <w:rPr>
                                  <w:rStyle w:val="InternetLink"/>
                                </w:rPr>
                                <w:t xml:space="preserve"> A</w:t>
                              </w:r>
                            </w:hyperlink>
                            <w:hyperlink w:anchor="toc849638_35">
                              <w:r>
                                <w:rPr>
                                  <w:rStyle w:val="InternetLink"/>
                                  <w:sz w:val="20"/>
                                  <w:u w:val="single"/>
                                </w:rPr>
                                <w:t>TTENDANCE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6">
                              <w:r>
                                <w:rPr>
                                  <w:rStyle w:val="InternetLink"/>
                                </w:rPr>
                                <w:t>E</w:t>
                              </w:r>
                            </w:hyperlink>
                            <w:hyperlink w:anchor="toc849638_36">
                              <w:r>
                                <w:rPr>
                                  <w:rStyle w:val="InternetLink"/>
                                  <w:sz w:val="20"/>
                                  <w:u w:val="single"/>
                                </w:rPr>
                                <w:t>XECUTIVE</w:t>
                              </w:r>
                            </w:hyperlink>
                            <w:hyperlink w:anchor="toc849638_36">
                              <w:r>
                                <w:rPr>
                                  <w:rStyle w:val="InternetLink"/>
                                </w:rPr>
                                <w:t xml:space="preserve"> S</w:t>
                              </w:r>
                            </w:hyperlink>
                            <w:hyperlink w:anchor="toc849638_36">
                              <w:r>
                                <w:rPr>
                                  <w:rStyle w:val="InternetLink"/>
                                  <w:sz w:val="20"/>
                                  <w:u w:val="single"/>
                                </w:rPr>
                                <w:t>ESSIONS</w:t>
                              </w:r>
                            </w:hyperlink>
                            <w:hyperlink w:anchor="toc849638_36">
                              <w:r>
                                <w:rPr>
                                  <w:rStyle w:val="InternetLink"/>
                                </w:rPr>
                                <w:t xml:space="preserve"> </w:t>
                              </w:r>
                            </w:hyperlink>
                            <w:hyperlink w:anchor="toc849638_36">
                              <w:r>
                                <w:rPr>
                                  <w:rStyle w:val="InternetLink"/>
                                  <w:sz w:val="20"/>
                                  <w:u w:val="single"/>
                                </w:rPr>
                                <w:t>OF</w:t>
                              </w:r>
                            </w:hyperlink>
                            <w:hyperlink w:anchor="toc849638_36">
                              <w:r>
                                <w:rPr>
                                  <w:rStyle w:val="InternetLink"/>
                                </w:rPr>
                                <w:t xml:space="preserve"> </w:t>
                              </w:r>
                            </w:hyperlink>
                            <w:hyperlink w:anchor="toc849638_36">
                              <w:r>
                                <w:rPr>
                                  <w:rStyle w:val="InternetLink"/>
                                  <w:sz w:val="20"/>
                                  <w:u w:val="single"/>
                                </w:rPr>
                                <w:t>THE</w:t>
                              </w:r>
                            </w:hyperlink>
                            <w:hyperlink w:anchor="toc849638_36">
                              <w:r>
                                <w:rPr>
                                  <w:rStyle w:val="InternetLink"/>
                                </w:rPr>
                                <w:t xml:space="preserve"> B</w:t>
                              </w:r>
                            </w:hyperlink>
                            <w:hyperlink w:anchor="toc849638_36">
                              <w:r>
                                <w:rPr>
                                  <w:rStyle w:val="InternetLink"/>
                                  <w:sz w:val="20"/>
                                  <w:u w:val="single"/>
                                </w:rPr>
                                <w:t>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7">
                              <w:r>
                                <w:rPr>
                                  <w:rStyle w:val="InternetLink"/>
                                </w:rPr>
                                <w:t>C</w:t>
                              </w:r>
                            </w:hyperlink>
                            <w:hyperlink w:anchor="toc849638_37">
                              <w:r>
                                <w:rPr>
                                  <w:rStyle w:val="InternetLink"/>
                                  <w:sz w:val="20"/>
                                  <w:u w:val="single"/>
                                </w:rPr>
                                <w:t>ODE</w:t>
                              </w:r>
                            </w:hyperlink>
                            <w:hyperlink w:anchor="toc849638_37">
                              <w:r>
                                <w:rPr>
                                  <w:rStyle w:val="InternetLink"/>
                                </w:rPr>
                                <w:t xml:space="preserve"> </w:t>
                              </w:r>
                            </w:hyperlink>
                            <w:hyperlink w:anchor="toc849638_37">
                              <w:r>
                                <w:rPr>
                                  <w:rStyle w:val="InternetLink"/>
                                  <w:sz w:val="20"/>
                                  <w:u w:val="single"/>
                                </w:rPr>
                                <w:t>OF</w:t>
                              </w:r>
                            </w:hyperlink>
                            <w:hyperlink w:anchor="toc849638_37">
                              <w:r>
                                <w:rPr>
                                  <w:rStyle w:val="InternetLink"/>
                                </w:rPr>
                                <w:t xml:space="preserve"> B</w:t>
                              </w:r>
                            </w:hyperlink>
                            <w:hyperlink w:anchor="toc849638_37">
                              <w:r>
                                <w:rPr>
                                  <w:rStyle w:val="InternetLink"/>
                                  <w:sz w:val="20"/>
                                  <w:u w:val="single"/>
                                </w:rPr>
                                <w:t>USINESS</w:t>
                              </w:r>
                            </w:hyperlink>
                            <w:hyperlink w:anchor="toc849638_37">
                              <w:r>
                                <w:rPr>
                                  <w:rStyle w:val="InternetLink"/>
                                </w:rPr>
                                <w:t xml:space="preserve"> C</w:t>
                              </w:r>
                            </w:hyperlink>
                            <w:hyperlink w:anchor="toc849638_37">
                              <w:r>
                                <w:rPr>
                                  <w:rStyle w:val="InternetLink"/>
                                  <w:sz w:val="20"/>
                                  <w:u w:val="single"/>
                                </w:rPr>
                                <w:t>ONDUCT</w:t>
                              </w:r>
                            </w:hyperlink>
                            <w:hyperlink w:anchor="toc849638_37">
                              <w:r>
                                <w:rPr>
                                  <w:rStyle w:val="InternetLink"/>
                                </w:rPr>
                                <w:t xml:space="preserve"> </w:t>
                              </w:r>
                            </w:hyperlink>
                            <w:hyperlink w:anchor="toc849638_37">
                              <w:r>
                                <w:rPr>
                                  <w:rStyle w:val="InternetLink"/>
                                  <w:sz w:val="20"/>
                                  <w:u w:val="single"/>
                                </w:rPr>
                                <w:t>AND</w:t>
                              </w:r>
                            </w:hyperlink>
                            <w:hyperlink w:anchor="toc849638_37">
                              <w:r>
                                <w:rPr>
                                  <w:rStyle w:val="InternetLink"/>
                                </w:rPr>
                                <w:t xml:space="preserve"> E</w:t>
                              </w:r>
                            </w:hyperlink>
                            <w:hyperlink w:anchor="toc849638_37">
                              <w:r>
                                <w:rPr>
                                  <w:rStyle w:val="InternetLink"/>
                                  <w:sz w:val="20"/>
                                  <w:u w:val="single"/>
                                </w:rPr>
                                <w:t>THICS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8">
                              <w:r>
                                <w:rPr>
                                  <w:rStyle w:val="InternetLink"/>
                                </w:rPr>
                                <w:t>I</w:t>
                              </w:r>
                            </w:hyperlink>
                            <w:hyperlink w:anchor="toc849638_38">
                              <w:r>
                                <w:rPr>
                                  <w:rStyle w:val="InternetLink"/>
                                  <w:sz w:val="20"/>
                                  <w:u w:val="single"/>
                                </w:rPr>
                                <w:t>NSIDER</w:t>
                              </w:r>
                            </w:hyperlink>
                            <w:hyperlink w:anchor="toc849638_38">
                              <w:r>
                                <w:rPr>
                                  <w:rStyle w:val="InternetLink"/>
                                </w:rPr>
                                <w:t xml:space="preserve"> T</w:t>
                              </w:r>
                            </w:hyperlink>
                            <w:hyperlink w:anchor="toc849638_38">
                              <w:r>
                                <w:rPr>
                                  <w:rStyle w:val="InternetLink"/>
                                  <w:sz w:val="20"/>
                                  <w:u w:val="single"/>
                                </w:rPr>
                                <w:t>RADING</w:t>
                              </w:r>
                            </w:hyperlink>
                            <w:hyperlink w:anchor="toc849638_38">
                              <w:r>
                                <w:rPr>
                                  <w:rStyle w:val="InternetLink"/>
                                </w:rPr>
                                <w:t xml:space="preserve"> P</w:t>
                              </w:r>
                            </w:hyperlink>
                            <w:hyperlink w:anchor="toc849638_38">
                              <w:r>
                                <w:rPr>
                                  <w:rStyle w:val="InternetLink"/>
                                  <w:sz w:val="20"/>
                                  <w:u w:val="single"/>
                                </w:rPr>
                                <w:t>OLICY</w:t>
                              </w:r>
                            </w:hyperlink>
                            <w:hyperlink w:anchor="toc849638_38">
                              <w:r>
                                <w:rPr>
                                  <w:rStyle w:val="InternetLink"/>
                                </w:rPr>
                                <w:t xml:space="preserve"> </w:t>
                              </w:r>
                            </w:hyperlink>
                            <w:hyperlink w:anchor="toc849638_38">
                              <w:r>
                                <w:rPr>
                                  <w:rStyle w:val="InternetLink"/>
                                  <w:sz w:val="20"/>
                                  <w:u w:val="single"/>
                                </w:rPr>
                                <w:t>AND</w:t>
                              </w:r>
                            </w:hyperlink>
                            <w:hyperlink w:anchor="toc849638_38">
                              <w:r>
                                <w:rPr>
                                  <w:rStyle w:val="InternetLink"/>
                                </w:rPr>
                                <w:t xml:space="preserve"> H</w:t>
                              </w:r>
                            </w:hyperlink>
                            <w:hyperlink w:anchor="toc849638_38">
                              <w:r>
                                <w:rPr>
                                  <w:rStyle w:val="InternetLink"/>
                                  <w:sz w:val="20"/>
                                  <w:u w:val="single"/>
                                </w:rPr>
                                <w:t>EDGING</w:t>
                              </w:r>
                            </w:hyperlink>
                            <w:hyperlink w:anchor="toc849638_38">
                              <w:r>
                                <w:rPr>
                                  <w:rStyle w:val="InternetLink"/>
                                </w:rPr>
                                <w:t xml:space="preserve"> </w:t>
                              </w:r>
                            </w:hyperlink>
                            <w:hyperlink w:anchor="toc849638_38">
                              <w:r>
                                <w:rPr>
                                  <w:rStyle w:val="InternetLink"/>
                                  <w:sz w:val="20"/>
                                  <w:u w:val="single"/>
                                </w:rPr>
                                <w:t>AND</w:t>
                              </w:r>
                            </w:hyperlink>
                            <w:hyperlink w:anchor="toc849638_38">
                              <w:r>
                                <w:rPr>
                                  <w:rStyle w:val="InternetLink"/>
                                </w:rPr>
                                <w:t xml:space="preserve"> P</w:t>
                              </w:r>
                            </w:hyperlink>
                            <w:hyperlink w:anchor="toc849638_38">
                              <w:r>
                                <w:rPr>
                                  <w:rStyle w:val="InternetLink"/>
                                  <w:sz w:val="20"/>
                                  <w:u w:val="single"/>
                                </w:rPr>
                                <w:t>LEDGING</w:t>
                              </w:r>
                            </w:hyperlink>
                            <w:hyperlink w:anchor="toc849638_38">
                              <w:r>
                                <w:rPr>
                                  <w:rStyle w:val="InternetLink"/>
                                </w:rPr>
                                <w:t xml:space="preserve"> P</w:t>
                              </w:r>
                            </w:hyperlink>
                            <w:hyperlink w:anchor="toc849638_38">
                              <w:r>
                                <w:rPr>
                                  <w:rStyle w:val="InternetLink"/>
                                  <w:sz w:val="20"/>
                                  <w:u w:val="single"/>
                                </w:rPr>
                                <w:t>ROHIBITION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39">
                              <w:r>
                                <w:rPr>
                                  <w:rStyle w:val="InternetLink"/>
                                </w:rPr>
                                <w:t>S</w:t>
                              </w:r>
                            </w:hyperlink>
                            <w:hyperlink w:anchor="toc849638_39">
                              <w:r>
                                <w:rPr>
                                  <w:rStyle w:val="InternetLink"/>
                                  <w:sz w:val="20"/>
                                  <w:u w:val="single"/>
                                </w:rPr>
                                <w:t>TOCKHOLDER</w:t>
                              </w:r>
                            </w:hyperlink>
                            <w:hyperlink w:anchor="toc849638_39">
                              <w:r>
                                <w:rPr>
                                  <w:rStyle w:val="InternetLink"/>
                                </w:rPr>
                                <w:t xml:space="preserve"> E</w:t>
                              </w:r>
                            </w:hyperlink>
                            <w:hyperlink w:anchor="toc849638_39">
                              <w:r>
                                <w:rPr>
                                  <w:rStyle w:val="InternetLink"/>
                                  <w:sz w:val="20"/>
                                  <w:u w:val="single"/>
                                </w:rPr>
                                <w:t>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0">
                              <w:r>
                                <w:rPr>
                                  <w:rStyle w:val="InternetLink"/>
                                </w:rPr>
                                <w:t>C</w:t>
                              </w:r>
                            </w:hyperlink>
                            <w:hyperlink w:anchor="toc849638_40">
                              <w:r>
                                <w:rPr>
                                  <w:rStyle w:val="InternetLink"/>
                                  <w:sz w:val="20"/>
                                  <w:u w:val="single"/>
                                </w:rPr>
                                <w:t>OMMUNICATION</w:t>
                              </w:r>
                            </w:hyperlink>
                            <w:hyperlink w:anchor="toc849638_40">
                              <w:r>
                                <w:rPr>
                                  <w:rStyle w:val="InternetLink"/>
                                </w:rPr>
                                <w:t xml:space="preserve"> </w:t>
                              </w:r>
                            </w:hyperlink>
                            <w:hyperlink w:anchor="toc849638_40">
                              <w:r>
                                <w:rPr>
                                  <w:rStyle w:val="InternetLink"/>
                                  <w:sz w:val="20"/>
                                  <w:u w:val="single"/>
                                </w:rPr>
                                <w:t>WITH</w:t>
                              </w:r>
                            </w:hyperlink>
                            <w:hyperlink w:anchor="toc849638_40">
                              <w:r>
                                <w:rPr>
                                  <w:rStyle w:val="InternetLink"/>
                                </w:rPr>
                                <w:t xml:space="preserve"> D</w:t>
                              </w:r>
                            </w:hyperlink>
                            <w:hyperlink w:anchor="toc849638_40">
                              <w:r>
                                <w:rPr>
                                  <w:rStyle w:val="InternetLink"/>
                                  <w:sz w:val="20"/>
                                  <w:u w:val="single"/>
                                </w:rPr>
                                <w:t>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1">
                              <w:r>
                                <w:rPr>
                                  <w:rStyle w:val="InternetLink"/>
                                </w:rPr>
                                <w:t>S</w:t>
                              </w:r>
                            </w:hyperlink>
                            <w:hyperlink w:anchor="toc849638_41">
                              <w:r>
                                <w:rPr>
                                  <w:rStyle w:val="InternetLink"/>
                                  <w:sz w:val="20"/>
                                  <w:u w:val="single"/>
                                </w:rPr>
                                <w:t>TOCKHOLDER</w:t>
                              </w:r>
                            </w:hyperlink>
                            <w:hyperlink w:anchor="toc849638_41">
                              <w:r>
                                <w:rPr>
                                  <w:rStyle w:val="InternetLink"/>
                                </w:rPr>
                                <w:t xml:space="preserve"> N</w:t>
                              </w:r>
                            </w:hyperlink>
                            <w:hyperlink w:anchor="toc849638_41">
                              <w:r>
                                <w:rPr>
                                  <w:rStyle w:val="InternetLink"/>
                                  <w:sz w:val="20"/>
                                  <w:u w:val="single"/>
                                </w:rPr>
                                <w:t>OMINATIONS</w:t>
                              </w:r>
                            </w:hyperlink>
                            <w:hyperlink w:anchor="toc849638_41">
                              <w:r>
                                <w:rPr>
                                  <w:rStyle w:val="InternetLink"/>
                                </w:rPr>
                                <w:t xml:space="preserve"> </w:t>
                              </w:r>
                            </w:hyperlink>
                            <w:hyperlink w:anchor="toc849638_41">
                              <w:r>
                                <w:rPr>
                                  <w:rStyle w:val="InternetLink"/>
                                  <w:sz w:val="20"/>
                                  <w:u w:val="single"/>
                                </w:rPr>
                                <w:t>OF</w:t>
                              </w:r>
                            </w:hyperlink>
                            <w:hyperlink w:anchor="toc849638_41">
                              <w:r>
                                <w:rPr>
                                  <w:rStyle w:val="InternetLink"/>
                                </w:rPr>
                                <w:t xml:space="preserve"> D</w:t>
                              </w:r>
                            </w:hyperlink>
                            <w:hyperlink w:anchor="toc849638_41">
                              <w:r>
                                <w:rPr>
                                  <w:rStyle w:val="InternetLink"/>
                                  <w:sz w:val="20"/>
                                  <w:u w:val="single"/>
                                </w:rPr>
                                <w:t>IRECTOR</w:t>
                              </w:r>
                            </w:hyperlink>
                            <w:hyperlink w:anchor="toc849638_41">
                              <w:r>
                                <w:rPr>
                                  <w:rStyle w:val="InternetLink"/>
                                </w:rPr>
                                <w:t xml:space="preserve"> C</w:t>
                              </w:r>
                            </w:hyperlink>
                            <w:hyperlink w:anchor="toc849638_41">
                              <w:r>
                                <w:rPr>
                                  <w:rStyle w:val="InternetLink"/>
                                  <w:sz w:val="20"/>
                                  <w:u w:val="single"/>
                                </w:rPr>
                                <w:t>ANDIDATES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2">
                              <w:r>
                                <w:rPr>
                                  <w:rStyle w:val="InternetLink"/>
                                </w:rPr>
                                <w:t>C</w:t>
                              </w:r>
                            </w:hyperlink>
                            <w:hyperlink w:anchor="toc849638_42">
                              <w:r>
                                <w:rPr>
                                  <w:rStyle w:val="InternetLink"/>
                                  <w:sz w:val="20"/>
                                  <w:u w:val="single"/>
                                </w:rPr>
                                <w:t>ORPORATE</w:t>
                              </w:r>
                            </w:hyperlink>
                            <w:hyperlink w:anchor="toc849638_42">
                              <w:r>
                                <w:rPr>
                                  <w:rStyle w:val="InternetLink"/>
                                </w:rPr>
                                <w:t xml:space="preserve"> G</w:t>
                              </w:r>
                            </w:hyperlink>
                            <w:hyperlink w:anchor="toc849638_42">
                              <w:r>
                                <w:rPr>
                                  <w:rStyle w:val="InternetLink"/>
                                  <w:sz w:val="20"/>
                                  <w:u w:val="single"/>
                                </w:rPr>
                                <w:t>OVERNANCE</w:t>
                              </w:r>
                            </w:hyperlink>
                            <w:hyperlink w:anchor="toc849638_42">
                              <w:r>
                                <w:rPr>
                                  <w:rStyle w:val="InternetLink"/>
                                </w:rPr>
                                <w:t xml:space="preserve"> M</w:t>
                              </w:r>
                            </w:hyperlink>
                            <w:hyperlink w:anchor="toc849638_42">
                              <w:r>
                                <w:rPr>
                                  <w:rStyle w:val="InternetLink"/>
                                  <w:sz w:val="20"/>
                                  <w:u w:val="single"/>
                                </w:rPr>
                                <w:t>ATERIALS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3">
                              <w:r>
                                <w:rPr>
                                  <w:rStyle w:val="InternetLink"/>
                                  <w:b/>
                                  <w:color w:val="1070B8"/>
                                </w:rPr>
                                <w:t>CORPORATE RESPONSIBILITY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36</w:t>
                            </w:r>
                          </w:p>
                        </w:tc>
                        <w:tc>
                          <w:tcPr>
                            <w:tcW w:w="75" w:type="dxa"/>
                            <w:tcBorders/>
                            <w:vAlign w:val="center"/>
                          </w:tcPr>
                          <w:p>
                            <w:pPr>
                              <w:pStyle w:val="TableContents"/>
                              <w:bidi w:val="0"/>
                              <w:spacing w:before="0" w:after="283"/>
                              <w:jc w:val="left"/>
                              <w:rPr>
                                <w:color w:val="1070B8"/>
                              </w:rPr>
                            </w:pPr>
                            <w:r>
                              <w:rPr>
                                <w:color w:val="1070B8"/>
                              </w:rPr>
                              <w:t> </w:t>
                            </w:r>
                          </w:p>
                        </w:tc>
                      </w:tr>
                      <w:tr>
                        <w:trPr/>
                        <w:tc>
                          <w:tcPr>
                            <w:tcW w:w="9750" w:type="dxa"/>
                            <w:tcBorders/>
                            <w:vAlign w:val="center"/>
                          </w:tcPr>
                          <w:p>
                            <w:pPr>
                              <w:pStyle w:val="TableContents"/>
                              <w:bidi w:val="0"/>
                              <w:spacing w:before="0" w:after="283"/>
                              <w:jc w:val="left"/>
                              <w:rPr/>
                            </w:pPr>
                            <w:hyperlink w:anchor="toc849638_44">
                              <w:r>
                                <w:rPr>
                                  <w:rStyle w:val="InternetLink"/>
                                </w:rPr>
                                <w:t>G</w:t>
                              </w:r>
                            </w:hyperlink>
                            <w:hyperlink w:anchor="toc849638_44">
                              <w:r>
                                <w:rPr>
                                  <w:rStyle w:val="InternetLink"/>
                                  <w:sz w:val="20"/>
                                  <w:u w:val="single"/>
                                </w:rPr>
                                <w:t>OING</w:t>
                              </w:r>
                            </w:hyperlink>
                            <w:hyperlink w:anchor="toc849638_44">
                              <w:r>
                                <w:rPr>
                                  <w:rStyle w:val="InternetLink"/>
                                </w:rPr>
                                <w:t xml:space="preserve"> B</w:t>
                              </w:r>
                            </w:hyperlink>
                            <w:hyperlink w:anchor="toc849638_44">
                              <w:r>
                                <w:rPr>
                                  <w:rStyle w:val="InternetLink"/>
                                  <w:sz w:val="20"/>
                                  <w:u w:val="single"/>
                                </w:rPr>
                                <w:t>EYOND</w:t>
                              </w:r>
                            </w:hyperlink>
                            <w:hyperlink w:anchor="toc849638_44">
                              <w:r>
                                <w:rPr>
                                  <w:rStyle w:val="InternetLink"/>
                                </w:rPr>
                                <w:t xml:space="preserve"> </w:t>
                              </w:r>
                            </w:hyperlink>
                            <w:hyperlink w:anchor="toc849638_44">
                              <w:r>
                                <w:rPr>
                                  <w:rStyle w:val="InternetLink"/>
                                  <w:sz w:val="20"/>
                                  <w:u w:val="single"/>
                                </w:rPr>
                                <w:t>THE</w:t>
                              </w:r>
                            </w:hyperlink>
                            <w:hyperlink w:anchor="toc849638_44">
                              <w:r>
                                <w:rPr>
                                  <w:rStyle w:val="InternetLink"/>
                                </w:rPr>
                                <w:t xml:space="preserve"> B</w:t>
                              </w:r>
                            </w:hyperlink>
                            <w:hyperlink w:anchor="toc849638_44">
                              <w:r>
                                <w:rPr>
                                  <w:rStyle w:val="InternetLink"/>
                                  <w:sz w:val="20"/>
                                  <w:u w:val="single"/>
                                </w:rPr>
                                <w:t>UILDINGS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5">
                              <w:r>
                                <w:rPr>
                                  <w:rStyle w:val="InternetLink"/>
                                </w:rPr>
                                <w:t>C</w:t>
                              </w:r>
                            </w:hyperlink>
                            <w:hyperlink w:anchor="toc849638_45">
                              <w:r>
                                <w:rPr>
                                  <w:rStyle w:val="InternetLink"/>
                                  <w:sz w:val="20"/>
                                  <w:u w:val="single"/>
                                </w:rPr>
                                <w:t>OMMITTING</w:t>
                              </w:r>
                            </w:hyperlink>
                            <w:hyperlink w:anchor="toc849638_45">
                              <w:r>
                                <w:rPr>
                                  <w:rStyle w:val="InternetLink"/>
                                </w:rPr>
                                <w:t xml:space="preserve"> </w:t>
                              </w:r>
                            </w:hyperlink>
                            <w:hyperlink w:anchor="toc849638_45">
                              <w:r>
                                <w:rPr>
                                  <w:rStyle w:val="InternetLink"/>
                                  <w:sz w:val="20"/>
                                  <w:u w:val="single"/>
                                </w:rPr>
                                <w:t>TO</w:t>
                              </w:r>
                            </w:hyperlink>
                            <w:hyperlink w:anchor="toc849638_45">
                              <w:r>
                                <w:rPr>
                                  <w:rStyle w:val="InternetLink"/>
                                </w:rPr>
                                <w:t xml:space="preserve"> O</w:t>
                              </w:r>
                            </w:hyperlink>
                            <w:hyperlink w:anchor="toc849638_45">
                              <w:r>
                                <w:rPr>
                                  <w:rStyle w:val="InternetLink"/>
                                  <w:sz w:val="20"/>
                                  <w:u w:val="single"/>
                                </w:rPr>
                                <w:t>UR</w:t>
                              </w:r>
                            </w:hyperlink>
                            <w:hyperlink w:anchor="toc849638_45">
                              <w:r>
                                <w:rPr>
                                  <w:rStyle w:val="InternetLink"/>
                                </w:rPr>
                                <w:t xml:space="preserve"> P</w:t>
                              </w:r>
                            </w:hyperlink>
                            <w:hyperlink w:anchor="toc849638_45">
                              <w:r>
                                <w:rPr>
                                  <w:rStyle w:val="InternetLink"/>
                                  <w:sz w:val="20"/>
                                  <w:u w:val="single"/>
                                </w:rPr>
                                <w:t>EOPLE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6">
                              <w:r>
                                <w:rPr>
                                  <w:rStyle w:val="InternetLink"/>
                                </w:rPr>
                                <w:t>E</w:t>
                              </w:r>
                            </w:hyperlink>
                            <w:hyperlink w:anchor="toc849638_46">
                              <w:r>
                                <w:rPr>
                                  <w:rStyle w:val="InternetLink"/>
                                  <w:sz w:val="20"/>
                                  <w:u w:val="single"/>
                                </w:rPr>
                                <w:t>LEVATING</w:t>
                              </w:r>
                            </w:hyperlink>
                            <w:hyperlink w:anchor="toc849638_46">
                              <w:r>
                                <w:rPr>
                                  <w:rStyle w:val="InternetLink"/>
                                </w:rPr>
                                <w:t xml:space="preserve"> </w:t>
                              </w:r>
                            </w:hyperlink>
                            <w:hyperlink w:anchor="toc849638_46">
                              <w:r>
                                <w:rPr>
                                  <w:rStyle w:val="InternetLink"/>
                                  <w:sz w:val="20"/>
                                  <w:u w:val="single"/>
                                </w:rPr>
                                <w:t>OUR</w:t>
                              </w:r>
                            </w:hyperlink>
                            <w:hyperlink w:anchor="toc849638_46">
                              <w:r>
                                <w:rPr>
                                  <w:rStyle w:val="InternetLink"/>
                                </w:rPr>
                                <w:t xml:space="preserve"> N</w:t>
                              </w:r>
                            </w:hyperlink>
                            <w:hyperlink w:anchor="toc849638_46">
                              <w:r>
                                <w:rPr>
                                  <w:rStyle w:val="InternetLink"/>
                                  <w:sz w:val="20"/>
                                  <w:u w:val="single"/>
                                </w:rPr>
                                <w:t>EIGHBORHOODS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7">
                              <w:r>
                                <w:rPr>
                                  <w:rStyle w:val="InternetLink"/>
                                </w:rPr>
                                <w:t>C</w:t>
                              </w:r>
                            </w:hyperlink>
                            <w:hyperlink w:anchor="toc849638_47">
                              <w:r>
                                <w:rPr>
                                  <w:rStyle w:val="InternetLink"/>
                                  <w:sz w:val="20"/>
                                  <w:u w:val="single"/>
                                </w:rPr>
                                <w:t>ORPORATE</w:t>
                              </w:r>
                            </w:hyperlink>
                            <w:hyperlink w:anchor="toc849638_47">
                              <w:r>
                                <w:rPr>
                                  <w:rStyle w:val="InternetLink"/>
                                </w:rPr>
                                <w:t xml:space="preserve"> R</w:t>
                              </w:r>
                            </w:hyperlink>
                            <w:hyperlink w:anchor="toc849638_47">
                              <w:r>
                                <w:rPr>
                                  <w:rStyle w:val="InternetLink"/>
                                  <w:sz w:val="20"/>
                                  <w:u w:val="single"/>
                                </w:rPr>
                                <w:t>ESPONSIBILITY</w:t>
                              </w:r>
                            </w:hyperlink>
                            <w:hyperlink w:anchor="toc849638_47">
                              <w:r>
                                <w:rPr>
                                  <w:rStyle w:val="InternetLink"/>
                                </w:rPr>
                                <w:t xml:space="preserve"> M</w:t>
                              </w:r>
                            </w:hyperlink>
                            <w:hyperlink w:anchor="toc849638_47">
                              <w:r>
                                <w:rPr>
                                  <w:rStyle w:val="InternetLink"/>
                                  <w:sz w:val="20"/>
                                  <w:u w:val="single"/>
                                </w:rPr>
                                <w:t>ATERIALS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48">
                              <w:r>
                                <w:rPr>
                                  <w:rStyle w:val="InternetLink"/>
                                  <w:b/>
                                  <w:color w:val="1070B8"/>
                                </w:rPr>
                                <w:t>PROPOSAL 2 – RATIFICATION OF THE APPOINTMENT OF OUR INDEPENDENT REGISTERED PUBLIC ACCOUNTING FIRM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43</w:t>
                            </w:r>
                          </w:p>
                        </w:tc>
                        <w:tc>
                          <w:tcPr>
                            <w:tcW w:w="75" w:type="dxa"/>
                            <w:tcBorders/>
                            <w:vAlign w:val="center"/>
                          </w:tcPr>
                          <w:p>
                            <w:pPr>
                              <w:pStyle w:val="TableContents"/>
                              <w:bidi w:val="0"/>
                              <w:spacing w:before="0" w:after="283"/>
                              <w:jc w:val="left"/>
                              <w:rPr>
                                <w:color w:val="1070B8"/>
                              </w:rPr>
                            </w:pPr>
                            <w:r>
                              <w:rPr>
                                <w:color w:val="1070B8"/>
                              </w:rPr>
                              <w:t> </w:t>
                            </w:r>
                          </w:p>
                        </w:tc>
                      </w:tr>
                      <w:tr>
                        <w:trPr/>
                        <w:tc>
                          <w:tcPr>
                            <w:tcW w:w="9750" w:type="dxa"/>
                            <w:tcBorders/>
                            <w:vAlign w:val="center"/>
                          </w:tcPr>
                          <w:p>
                            <w:pPr>
                              <w:pStyle w:val="TableContents"/>
                              <w:bidi w:val="0"/>
                              <w:spacing w:before="0" w:after="283"/>
                              <w:jc w:val="left"/>
                              <w:rPr/>
                            </w:pPr>
                            <w:hyperlink w:anchor="toc849638_49">
                              <w:r>
                                <w:rPr>
                                  <w:rStyle w:val="InternetLink"/>
                                </w:rPr>
                                <w:t>O</w:t>
                              </w:r>
                            </w:hyperlink>
                            <w:hyperlink w:anchor="toc849638_49">
                              <w:r>
                                <w:rPr>
                                  <w:rStyle w:val="InternetLink"/>
                                  <w:sz w:val="20"/>
                                  <w:u w:val="single"/>
                                </w:rPr>
                                <w:t>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50">
                              <w:r>
                                <w:rPr>
                                  <w:rStyle w:val="InternetLink"/>
                                </w:rPr>
                                <w:t>F</w:t>
                              </w:r>
                            </w:hyperlink>
                            <w:hyperlink w:anchor="toc849638_50">
                              <w:r>
                                <w:rPr>
                                  <w:rStyle w:val="InternetLink"/>
                                  <w:sz w:val="20"/>
                                  <w:u w:val="single"/>
                                </w:rPr>
                                <w:t>EES</w:t>
                              </w:r>
                            </w:hyperlink>
                            <w:hyperlink w:anchor="toc849638_50">
                              <w:r>
                                <w:rPr>
                                  <w:rStyle w:val="InternetLink"/>
                                </w:rPr>
                                <w:t xml:space="preserve"> P</w:t>
                              </w:r>
                            </w:hyperlink>
                            <w:hyperlink w:anchor="toc849638_50">
                              <w:r>
                                <w:rPr>
                                  <w:rStyle w:val="InternetLink"/>
                                  <w:sz w:val="20"/>
                                  <w:u w:val="single"/>
                                </w:rPr>
                                <w:t>AID</w:t>
                              </w:r>
                            </w:hyperlink>
                            <w:hyperlink w:anchor="toc849638_50">
                              <w:r>
                                <w:rPr>
                                  <w:rStyle w:val="InternetLink"/>
                                </w:rPr>
                                <w:t xml:space="preserve"> </w:t>
                              </w:r>
                            </w:hyperlink>
                            <w:hyperlink w:anchor="toc849638_50">
                              <w:r>
                                <w:rPr>
                                  <w:rStyle w:val="InternetLink"/>
                                  <w:sz w:val="20"/>
                                  <w:u w:val="single"/>
                                </w:rPr>
                                <w:t>TO</w:t>
                              </w:r>
                            </w:hyperlink>
                            <w:hyperlink w:anchor="toc849638_50">
                              <w:r>
                                <w:rPr>
                                  <w:rStyle w:val="InternetLink"/>
                                </w:rPr>
                                <w:t xml:space="preserve"> D</w:t>
                              </w:r>
                            </w:hyperlink>
                            <w:hyperlink w:anchor="toc849638_50">
                              <w:r>
                                <w:rPr>
                                  <w:rStyle w:val="InternetLink"/>
                                  <w:sz w:val="20"/>
                                  <w:u w:val="single"/>
                                </w:rPr>
                                <w:t>ELOITTE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51">
                              <w:r>
                                <w:rPr>
                                  <w:rStyle w:val="InternetLink"/>
                                </w:rPr>
                                <w:t>P</w:t>
                              </w:r>
                            </w:hyperlink>
                            <w:hyperlink w:anchor="toc849638_51">
                              <w:r>
                                <w:rPr>
                                  <w:rStyle w:val="InternetLink"/>
                                  <w:sz w:val="20"/>
                                  <w:u w:val="single"/>
                                </w:rPr>
                                <w:t>RE</w:t>
                              </w:r>
                            </w:hyperlink>
                            <w:hyperlink w:anchor="toc849638_51">
                              <w:r>
                                <w:rPr>
                                  <w:rStyle w:val="InternetLink"/>
                                </w:rPr>
                                <w:t>-</w:t>
                              </w:r>
                            </w:hyperlink>
                            <w:hyperlink w:anchor="toc849638_51">
                              <w:r>
                                <w:rPr>
                                  <w:rStyle w:val="InternetLink"/>
                                  <w:sz w:val="20"/>
                                  <w:u w:val="single"/>
                                </w:rPr>
                                <w:t>APPROVAL</w:t>
                              </w:r>
                            </w:hyperlink>
                            <w:hyperlink w:anchor="toc849638_51">
                              <w:r>
                                <w:rPr>
                                  <w:rStyle w:val="InternetLink"/>
                                </w:rPr>
                                <w:t xml:space="preserve"> </w:t>
                              </w:r>
                            </w:hyperlink>
                            <w:hyperlink w:anchor="toc849638_51">
                              <w:r>
                                <w:rPr>
                                  <w:rStyle w:val="InternetLink"/>
                                  <w:sz w:val="20"/>
                                  <w:u w:val="single"/>
                                </w:rPr>
                                <w:t>OF</w:t>
                              </w:r>
                            </w:hyperlink>
                            <w:hyperlink w:anchor="toc849638_51">
                              <w:r>
                                <w:rPr>
                                  <w:rStyle w:val="InternetLink"/>
                                </w:rPr>
                                <w:t xml:space="preserve"> S</w:t>
                              </w:r>
                            </w:hyperlink>
                            <w:hyperlink w:anchor="toc849638_51">
                              <w:r>
                                <w:rPr>
                                  <w:rStyle w:val="InternetLink"/>
                                  <w:sz w:val="20"/>
                                  <w:u w:val="single"/>
                                </w:rPr>
                                <w:t>ERVICES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52">
                              <w:r>
                                <w:rPr>
                                  <w:rStyle w:val="InternetLink"/>
                                </w:rPr>
                                <w:t>R</w:t>
                              </w:r>
                            </w:hyperlink>
                            <w:hyperlink w:anchor="toc849638_52">
                              <w:r>
                                <w:rPr>
                                  <w:rStyle w:val="InternetLink"/>
                                  <w:sz w:val="20"/>
                                  <w:u w:val="single"/>
                                </w:rPr>
                                <w:t>EPORT</w:t>
                              </w:r>
                            </w:hyperlink>
                            <w:hyperlink w:anchor="toc849638_52">
                              <w:r>
                                <w:rPr>
                                  <w:rStyle w:val="InternetLink"/>
                                </w:rPr>
                                <w:t xml:space="preserve"> </w:t>
                              </w:r>
                            </w:hyperlink>
                            <w:hyperlink w:anchor="toc849638_52">
                              <w:r>
                                <w:rPr>
                                  <w:rStyle w:val="InternetLink"/>
                                  <w:sz w:val="20"/>
                                  <w:u w:val="single"/>
                                </w:rPr>
                                <w:t>OF</w:t>
                              </w:r>
                            </w:hyperlink>
                            <w:hyperlink w:anchor="toc849638_52">
                              <w:r>
                                <w:rPr>
                                  <w:rStyle w:val="InternetLink"/>
                                </w:rPr>
                                <w:t xml:space="preserve"> </w:t>
                              </w:r>
                            </w:hyperlink>
                            <w:hyperlink w:anchor="toc849638_52">
                              <w:r>
                                <w:rPr>
                                  <w:rStyle w:val="InternetLink"/>
                                  <w:sz w:val="20"/>
                                  <w:u w:val="single"/>
                                </w:rPr>
                                <w:t>THE</w:t>
                              </w:r>
                            </w:hyperlink>
                            <w:hyperlink w:anchor="toc849638_52">
                              <w:r>
                                <w:rPr>
                                  <w:rStyle w:val="InternetLink"/>
                                </w:rPr>
                                <w:t xml:space="preserve"> A</w:t>
                              </w:r>
                            </w:hyperlink>
                            <w:hyperlink w:anchor="toc849638_52">
                              <w:r>
                                <w:rPr>
                                  <w:rStyle w:val="InternetLink"/>
                                  <w:sz w:val="20"/>
                                  <w:u w:val="single"/>
                                </w:rPr>
                                <w:t>UDIT</w:t>
                              </w:r>
                            </w:hyperlink>
                            <w:hyperlink w:anchor="toc849638_52">
                              <w:r>
                                <w:rPr>
                                  <w:rStyle w:val="InternetLink"/>
                                </w:rPr>
                                <w:t xml:space="preserve"> C</w:t>
                              </w:r>
                            </w:hyperlink>
                            <w:hyperlink w:anchor="toc849638_52">
                              <w:r>
                                <w:rPr>
                                  <w:rStyle w:val="InternetLink"/>
                                  <w:sz w:val="20"/>
                                  <w:u w:val="single"/>
                                </w:rPr>
                                <w:t>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53">
                              <w:r>
                                <w:rPr>
                                  <w:rStyle w:val="InternetLink"/>
                                </w:rPr>
                                <w:t>R</w:t>
                              </w:r>
                            </w:hyperlink>
                            <w:hyperlink w:anchor="toc849638_53">
                              <w:r>
                                <w:rPr>
                                  <w:rStyle w:val="InternetLink"/>
                                  <w:sz w:val="20"/>
                                  <w:u w:val="single"/>
                                </w:rPr>
                                <w:t>EQUIRED</w:t>
                              </w:r>
                            </w:hyperlink>
                            <w:hyperlink w:anchor="toc849638_53">
                              <w:r>
                                <w:rPr>
                                  <w:rStyle w:val="InternetLink"/>
                                </w:rPr>
                                <w:t xml:space="preserve"> V</w:t>
                              </w:r>
                            </w:hyperlink>
                            <w:hyperlink w:anchor="toc849638_53">
                              <w:r>
                                <w:rPr>
                                  <w:rStyle w:val="InternetLink"/>
                                  <w:sz w:val="20"/>
                                  <w:u w:val="single"/>
                                </w:rPr>
                                <w:t>OTE</w:t>
                              </w:r>
                            </w:hyperlink>
                            <w:hyperlink w:anchor="toc849638_53">
                              <w:r>
                                <w:rPr>
                                  <w:rStyle w:val="InternetLink"/>
                                </w:rPr>
                                <w:t xml:space="preserve"> </w:t>
                              </w:r>
                            </w:hyperlink>
                            <w:hyperlink w:anchor="toc849638_53">
                              <w:r>
                                <w:rPr>
                                  <w:rStyle w:val="InternetLink"/>
                                  <w:sz w:val="20"/>
                                  <w:u w:val="single"/>
                                </w:rPr>
                                <w:t>AND</w:t>
                              </w:r>
                            </w:hyperlink>
                            <w:hyperlink w:anchor="toc849638_53">
                              <w:r>
                                <w:rPr>
                                  <w:rStyle w:val="InternetLink"/>
                                </w:rPr>
                                <w:t xml:space="preserve"> R</w:t>
                              </w:r>
                            </w:hyperlink>
                            <w:hyperlink w:anchor="toc849638_53">
                              <w:r>
                                <w:rPr>
                                  <w:rStyle w:val="InternetLink"/>
                                  <w:sz w:val="20"/>
                                  <w:u w:val="single"/>
                                </w:rPr>
                                <w:t>ECOMMENDATION</w:t>
                              </w:r>
                            </w:hyperlink>
                            <w:hyperlink w:anchor="toc849638_53">
                              <w:r>
                                <w:rPr>
                                  <w:rStyle w:val="InternetLink"/>
                                </w:rPr>
                                <w:t xml:space="preserve"> </w:t>
                              </w:r>
                            </w:hyperlink>
                            <w:hyperlink w:anchor="toc849638_53">
                              <w:r>
                                <w:rPr>
                                  <w:rStyle w:val="InternetLink"/>
                                  <w:sz w:val="20"/>
                                  <w:u w:val="single"/>
                                </w:rPr>
                                <w:t>OF</w:t>
                              </w:r>
                            </w:hyperlink>
                            <w:hyperlink w:anchor="toc849638_53">
                              <w:r>
                                <w:rPr>
                                  <w:rStyle w:val="InternetLink"/>
                                </w:rPr>
                                <w:t xml:space="preserve"> </w:t>
                              </w:r>
                            </w:hyperlink>
                            <w:hyperlink w:anchor="toc849638_53">
                              <w:r>
                                <w:rPr>
                                  <w:rStyle w:val="InternetLink"/>
                                  <w:sz w:val="20"/>
                                  <w:u w:val="single"/>
                                </w:rPr>
                                <w:t>THE</w:t>
                              </w:r>
                            </w:hyperlink>
                            <w:hyperlink w:anchor="toc849638_53">
                              <w:r>
                                <w:rPr>
                                  <w:rStyle w:val="InternetLink"/>
                                </w:rPr>
                                <w:t xml:space="preserve"> B</w:t>
                              </w:r>
                            </w:hyperlink>
                            <w:hyperlink w:anchor="toc849638_53">
                              <w:r>
                                <w:rPr>
                                  <w:rStyle w:val="InternetLink"/>
                                  <w:sz w:val="20"/>
                                  <w:u w:val="single"/>
                                </w:rPr>
                                <w:t>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849638_54">
                              <w:r>
                                <w:rPr>
                                  <w:rStyle w:val="InternetLink"/>
                                  <w:b/>
                                  <w:color w:val="1070B8"/>
                                </w:rPr>
                                <w:t>PROPOSAL 3 – NON-BINDING ADVISORY VOTE ON 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46</w:t>
                            </w:r>
                          </w:p>
                        </w:tc>
                        <w:tc>
                          <w:tcPr>
                            <w:tcW w:w="75" w:type="dxa"/>
                            <w:tcBorders/>
                            <w:vAlign w:val="center"/>
                          </w:tcPr>
                          <w:p>
                            <w:pPr>
                              <w:pStyle w:val="TableContents"/>
                              <w:bidi w:val="0"/>
                              <w:spacing w:before="0" w:after="283"/>
                              <w:jc w:val="left"/>
                              <w:rPr>
                                <w:color w:val="1070B8"/>
                              </w:rPr>
                            </w:pPr>
                            <w:r>
                              <w:rPr>
                                <w:color w:val="1070B8"/>
                              </w:rPr>
                              <w:t> </w:t>
                            </w:r>
                          </w:p>
                        </w:tc>
                      </w:tr>
                      <w:tr>
                        <w:trPr/>
                        <w:tc>
                          <w:tcPr>
                            <w:tcW w:w="9750" w:type="dxa"/>
                            <w:tcBorders/>
                            <w:vAlign w:val="center"/>
                          </w:tcPr>
                          <w:p>
                            <w:pPr>
                              <w:pStyle w:val="TableContents"/>
                              <w:bidi w:val="0"/>
                              <w:spacing w:before="0" w:after="283"/>
                              <w:jc w:val="left"/>
                              <w:rPr/>
                            </w:pPr>
                            <w:hyperlink w:anchor="toc849638_55">
                              <w:r>
                                <w:rPr>
                                  <w:rStyle w:val="InternetLink"/>
                                </w:rPr>
                                <w:t>R</w:t>
                              </w:r>
                            </w:hyperlink>
                            <w:hyperlink w:anchor="toc849638_55">
                              <w:r>
                                <w:rPr>
                                  <w:rStyle w:val="InternetLink"/>
                                  <w:sz w:val="20"/>
                                  <w:u w:val="single"/>
                                </w:rPr>
                                <w:t>EQUIRED</w:t>
                              </w:r>
                            </w:hyperlink>
                            <w:hyperlink w:anchor="toc849638_55">
                              <w:r>
                                <w:rPr>
                                  <w:rStyle w:val="InternetLink"/>
                                </w:rPr>
                                <w:t xml:space="preserve"> V</w:t>
                              </w:r>
                            </w:hyperlink>
                            <w:hyperlink w:anchor="toc849638_55">
                              <w:r>
                                <w:rPr>
                                  <w:rStyle w:val="InternetLink"/>
                                  <w:sz w:val="20"/>
                                  <w:u w:val="single"/>
                                </w:rPr>
                                <w:t>OTE</w:t>
                              </w:r>
                            </w:hyperlink>
                            <w:hyperlink w:anchor="toc849638_55">
                              <w:r>
                                <w:rPr>
                                  <w:rStyle w:val="InternetLink"/>
                                </w:rPr>
                                <w:t xml:space="preserve"> </w:t>
                              </w:r>
                            </w:hyperlink>
                            <w:hyperlink w:anchor="toc849638_55">
                              <w:r>
                                <w:rPr>
                                  <w:rStyle w:val="InternetLink"/>
                                  <w:sz w:val="20"/>
                                  <w:u w:val="single"/>
                                </w:rPr>
                                <w:t>AND</w:t>
                              </w:r>
                            </w:hyperlink>
                            <w:hyperlink w:anchor="toc849638_55">
                              <w:r>
                                <w:rPr>
                                  <w:rStyle w:val="InternetLink"/>
                                </w:rPr>
                                <w:t xml:space="preserve"> R</w:t>
                              </w:r>
                            </w:hyperlink>
                            <w:hyperlink w:anchor="toc849638_55">
                              <w:r>
                                <w:rPr>
                                  <w:rStyle w:val="InternetLink"/>
                                  <w:sz w:val="20"/>
                                  <w:u w:val="single"/>
                                </w:rPr>
                                <w:t>ECOMMENDATION</w:t>
                              </w:r>
                            </w:hyperlink>
                            <w:hyperlink w:anchor="toc849638_55">
                              <w:r>
                                <w:rPr>
                                  <w:rStyle w:val="InternetLink"/>
                                </w:rPr>
                                <w:t xml:space="preserve"> </w:t>
                              </w:r>
                            </w:hyperlink>
                            <w:hyperlink w:anchor="toc849638_55">
                              <w:r>
                                <w:rPr>
                                  <w:rStyle w:val="InternetLink"/>
                                  <w:sz w:val="20"/>
                                  <w:u w:val="single"/>
                                </w:rPr>
                                <w:t>OF</w:t>
                              </w:r>
                            </w:hyperlink>
                            <w:hyperlink w:anchor="toc849638_55">
                              <w:r>
                                <w:rPr>
                                  <w:rStyle w:val="InternetLink"/>
                                </w:rPr>
                                <w:t xml:space="preserve"> </w:t>
                              </w:r>
                            </w:hyperlink>
                            <w:hyperlink w:anchor="toc849638_55">
                              <w:r>
                                <w:rPr>
                                  <w:rStyle w:val="InternetLink"/>
                                  <w:sz w:val="20"/>
                                  <w:u w:val="single"/>
                                </w:rPr>
                                <w:t>THE</w:t>
                              </w:r>
                            </w:hyperlink>
                            <w:hyperlink w:anchor="toc849638_55">
                              <w:r>
                                <w:rPr>
                                  <w:rStyle w:val="InternetLink"/>
                                </w:rPr>
                                <w:t xml:space="preserve"> B</w:t>
                              </w:r>
                            </w:hyperlink>
                            <w:hyperlink w:anchor="toc849638_55">
                              <w:r>
                                <w:rPr>
                                  <w:rStyle w:val="InternetLink"/>
                                  <w:sz w:val="20"/>
                                  <w:u w:val="single"/>
                                </w:rPr>
                                <w:t>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3175000" cy="9972040"/>
                <wp:effectExtent l="0" t="0" r="0" b="0"/>
                <wp:wrapSquare wrapText="right"/>
                <wp:docPr id="8"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8320" w:type="dxa"/>
                              <w:jc w:val="left"/>
                              <w:tblInd w:w="0" w:type="dxa"/>
                              <w:tblLayout w:type="fixed"/>
                              <w:tblCellMar>
                                <w:top w:w="0" w:type="dxa"/>
                                <w:left w:w="0" w:type="dxa"/>
                                <w:bottom w:w="0" w:type="dxa"/>
                                <w:right w:w="0" w:type="dxa"/>
                              </w:tblCellMar>
                            </w:tblPr>
                            <w:tblGrid>
                              <w:gridCol w:w="7865"/>
                              <w:gridCol w:w="60"/>
                              <w:gridCol w:w="60"/>
                              <w:gridCol w:w="260"/>
                              <w:gridCol w:w="75"/>
                            </w:tblGrid>
                            <w:tr>
                              <w:trPr/>
                              <w:tc>
                                <w:tcPr>
                                  <w:tcW w:w="7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865" w:type="dxa"/>
                                  <w:tcBorders/>
                                  <w:vAlign w:val="center"/>
                                </w:tcPr>
                                <w:p>
                                  <w:pPr>
                                    <w:pStyle w:val="TableContents"/>
                                    <w:bidi w:val="0"/>
                                    <w:spacing w:before="0" w:after="283"/>
                                    <w:jc w:val="left"/>
                                    <w:rPr/>
                                  </w:pPr>
                                  <w:hyperlink w:anchor="toc849638_56">
                                    <w:r>
                                      <w:rPr>
                                        <w:rStyle w:val="InternetLink"/>
                                        <w:b/>
                                        <w:color w:val="1070B8"/>
                                      </w:rPr>
                                      <w:t>EXECUTIVE OFFICERS AND CERTAIN SIGNIFICANT EMPLOYEES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47</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57">
                                    <w:r>
                                      <w:rPr>
                                        <w:rStyle w:val="InternetLink"/>
                                      </w:rPr>
                                      <w:t>E</w:t>
                                    </w:r>
                                  </w:hyperlink>
                                  <w:hyperlink w:anchor="toc849638_57">
                                    <w:r>
                                      <w:rPr>
                                        <w:rStyle w:val="InternetLink"/>
                                        <w:sz w:val="20"/>
                                        <w:u w:val="single"/>
                                      </w:rPr>
                                      <w:t>XECUTIVE</w:t>
                                    </w:r>
                                  </w:hyperlink>
                                  <w:hyperlink w:anchor="toc849638_57">
                                    <w:r>
                                      <w:rPr>
                                        <w:rStyle w:val="InternetLink"/>
                                      </w:rPr>
                                      <w:t xml:space="preserve"> O</w:t>
                                    </w:r>
                                  </w:hyperlink>
                                  <w:hyperlink w:anchor="toc849638_57">
                                    <w:r>
                                      <w:rPr>
                                        <w:rStyle w:val="InternetLink"/>
                                        <w:sz w:val="20"/>
                                        <w:u w:val="single"/>
                                      </w:rPr>
                                      <w:t>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58">
                                    <w:r>
                                      <w:rPr>
                                        <w:rStyle w:val="InternetLink"/>
                                      </w:rPr>
                                      <w:t>C</w:t>
                                    </w:r>
                                  </w:hyperlink>
                                  <w:hyperlink w:anchor="toc849638_58">
                                    <w:r>
                                      <w:rPr>
                                        <w:rStyle w:val="InternetLink"/>
                                        <w:sz w:val="20"/>
                                        <w:u w:val="single"/>
                                      </w:rPr>
                                      <w:t>ERTAIN</w:t>
                                    </w:r>
                                  </w:hyperlink>
                                  <w:hyperlink w:anchor="toc849638_58">
                                    <w:r>
                                      <w:rPr>
                                        <w:rStyle w:val="InternetLink"/>
                                      </w:rPr>
                                      <w:t xml:space="preserve"> K</w:t>
                                    </w:r>
                                  </w:hyperlink>
                                  <w:hyperlink w:anchor="toc849638_58">
                                    <w:r>
                                      <w:rPr>
                                        <w:rStyle w:val="InternetLink"/>
                                        <w:sz w:val="20"/>
                                        <w:u w:val="single"/>
                                      </w:rPr>
                                      <w:t>EY</w:t>
                                    </w:r>
                                  </w:hyperlink>
                                  <w:hyperlink w:anchor="toc849638_58">
                                    <w:r>
                                      <w:rPr>
                                        <w:rStyle w:val="InternetLink"/>
                                      </w:rPr>
                                      <w:t xml:space="preserve"> E</w:t>
                                    </w:r>
                                  </w:hyperlink>
                                  <w:hyperlink w:anchor="toc849638_58">
                                    <w:r>
                                      <w:rPr>
                                        <w:rStyle w:val="InternetLink"/>
                                        <w:sz w:val="20"/>
                                        <w:u w:val="single"/>
                                      </w:rPr>
                                      <w:t>MPLOYEES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59">
                                    <w:r>
                                      <w:rPr>
                                        <w:rStyle w:val="InternetLink"/>
                                        <w:b/>
                                        <w:color w:val="1070B8"/>
                                      </w:rPr>
                                      <w:t>COMPENSATION DISCUSSION AND ANALYSIS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50</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60">
                                    <w:r>
                                      <w:rPr>
                                        <w:rStyle w:val="InternetLink"/>
                                      </w:rPr>
                                      <w:t>CHC C</w:t>
                                    </w:r>
                                  </w:hyperlink>
                                  <w:hyperlink w:anchor="toc849638_60">
                                    <w:r>
                                      <w:rPr>
                                        <w:rStyle w:val="InternetLink"/>
                                        <w:sz w:val="20"/>
                                        <w:u w:val="single"/>
                                      </w:rPr>
                                      <w:t>OMMITTEE</w:t>
                                    </w:r>
                                  </w:hyperlink>
                                  <w:hyperlink w:anchor="toc849638_60">
                                    <w:r>
                                      <w:rPr>
                                        <w:rStyle w:val="InternetLink"/>
                                      </w:rPr>
                                      <w:t xml:space="preserve"> R</w:t>
                                    </w:r>
                                  </w:hyperlink>
                                  <w:hyperlink w:anchor="toc849638_60">
                                    <w:r>
                                      <w:rPr>
                                        <w:rStyle w:val="InternetLink"/>
                                        <w:sz w:val="20"/>
                                        <w:u w:val="single"/>
                                      </w:rPr>
                                      <w:t>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1">
                                    <w:r>
                                      <w:rPr>
                                        <w:rStyle w:val="InternetLink"/>
                                      </w:rPr>
                                      <w:t>CD&amp;A T</w:t>
                                    </w:r>
                                  </w:hyperlink>
                                  <w:hyperlink w:anchor="toc849638_61">
                                    <w:r>
                                      <w:rPr>
                                        <w:rStyle w:val="InternetLink"/>
                                        <w:sz w:val="20"/>
                                        <w:u w:val="single"/>
                                      </w:rPr>
                                      <w:t>ABLE</w:t>
                                    </w:r>
                                  </w:hyperlink>
                                  <w:hyperlink w:anchor="toc849638_61">
                                    <w:r>
                                      <w:rPr>
                                        <w:rStyle w:val="InternetLink"/>
                                      </w:rPr>
                                      <w:t xml:space="preserve"> </w:t>
                                    </w:r>
                                  </w:hyperlink>
                                  <w:hyperlink w:anchor="toc849638_61">
                                    <w:r>
                                      <w:rPr>
                                        <w:rStyle w:val="InternetLink"/>
                                        <w:sz w:val="20"/>
                                        <w:u w:val="single"/>
                                      </w:rPr>
                                      <w:t>OF</w:t>
                                    </w:r>
                                  </w:hyperlink>
                                  <w:hyperlink w:anchor="toc849638_61">
                                    <w:r>
                                      <w:rPr>
                                        <w:rStyle w:val="InternetLink"/>
                                      </w:rPr>
                                      <w:t xml:space="preserve"> C</w:t>
                                    </w:r>
                                  </w:hyperlink>
                                  <w:hyperlink w:anchor="toc849638_61">
                                    <w:r>
                                      <w:rPr>
                                        <w:rStyle w:val="InternetLink"/>
                                        <w:sz w:val="20"/>
                                        <w:u w:val="single"/>
                                      </w:rPr>
                                      <w:t>ONTENTS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1a">
                                    <w:r>
                                      <w:rPr>
                                        <w:rStyle w:val="InternetLink"/>
                                      </w:rPr>
                                      <w:t>S</w:t>
                                    </w:r>
                                  </w:hyperlink>
                                  <w:hyperlink w:anchor="toc849638_61a">
                                    <w:r>
                                      <w:rPr>
                                        <w:rStyle w:val="InternetLink"/>
                                        <w:sz w:val="20"/>
                                        <w:u w:val="single"/>
                                      </w:rPr>
                                      <w:t>ECTION</w:t>
                                    </w:r>
                                  </w:hyperlink>
                                  <w:hyperlink w:anchor="toc849638_61a">
                                    <w:r>
                                      <w:rPr>
                                        <w:rStyle w:val="InternetLink"/>
                                      </w:rPr>
                                      <w:t> 1 – E</w:t>
                                    </w:r>
                                  </w:hyperlink>
                                  <w:hyperlink w:anchor="toc849638_61a">
                                    <w:r>
                                      <w:rPr>
                                        <w:rStyle w:val="InternetLink"/>
                                        <w:sz w:val="20"/>
                                        <w:u w:val="single"/>
                                      </w:rPr>
                                      <w:t>XECUTIVE</w:t>
                                    </w:r>
                                  </w:hyperlink>
                                  <w:hyperlink w:anchor="toc849638_61a">
                                    <w:r>
                                      <w:rPr>
                                        <w:rStyle w:val="InternetLink"/>
                                      </w:rPr>
                                      <w:t xml:space="preserve"> S</w:t>
                                    </w:r>
                                  </w:hyperlink>
                                  <w:hyperlink w:anchor="toc849638_61a">
                                    <w:r>
                                      <w:rPr>
                                        <w:rStyle w:val="InternetLink"/>
                                        <w:sz w:val="20"/>
                                        <w:u w:val="single"/>
                                      </w:rPr>
                                      <w:t>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1b">
                                    <w:r>
                                      <w:rPr>
                                        <w:rStyle w:val="InternetLink"/>
                                      </w:rPr>
                                      <w:t>S</w:t>
                                    </w:r>
                                  </w:hyperlink>
                                  <w:hyperlink w:anchor="toc849638_61b">
                                    <w:r>
                                      <w:rPr>
                                        <w:rStyle w:val="InternetLink"/>
                                        <w:sz w:val="20"/>
                                        <w:u w:val="single"/>
                                      </w:rPr>
                                      <w:t>ECTION</w:t>
                                    </w:r>
                                  </w:hyperlink>
                                  <w:hyperlink w:anchor="toc849638_61b">
                                    <w:r>
                                      <w:rPr>
                                        <w:rStyle w:val="InternetLink"/>
                                      </w:rPr>
                                      <w:t> 2 – H</w:t>
                                    </w:r>
                                  </w:hyperlink>
                                  <w:hyperlink w:anchor="toc849638_61b">
                                    <w:r>
                                      <w:rPr>
                                        <w:rStyle w:val="InternetLink"/>
                                        <w:sz w:val="20"/>
                                        <w:u w:val="single"/>
                                      </w:rPr>
                                      <w:t>OW</w:t>
                                    </w:r>
                                  </w:hyperlink>
                                  <w:hyperlink w:anchor="toc849638_61b">
                                    <w:r>
                                      <w:rPr>
                                        <w:rStyle w:val="InternetLink"/>
                                      </w:rPr>
                                      <w:t xml:space="preserve"> W</w:t>
                                    </w:r>
                                  </w:hyperlink>
                                  <w:hyperlink w:anchor="toc849638_61b">
                                    <w:r>
                                      <w:rPr>
                                        <w:rStyle w:val="InternetLink"/>
                                        <w:sz w:val="20"/>
                                        <w:u w:val="single"/>
                                      </w:rPr>
                                      <w:t>E</w:t>
                                    </w:r>
                                  </w:hyperlink>
                                  <w:hyperlink w:anchor="toc849638_61b">
                                    <w:r>
                                      <w:rPr>
                                        <w:rStyle w:val="InternetLink"/>
                                      </w:rPr>
                                      <w:t xml:space="preserve"> D</w:t>
                                    </w:r>
                                  </w:hyperlink>
                                  <w:hyperlink w:anchor="toc849638_61b">
                                    <w:r>
                                      <w:rPr>
                                        <w:rStyle w:val="InternetLink"/>
                                        <w:sz w:val="20"/>
                                        <w:u w:val="single"/>
                                      </w:rPr>
                                      <w:t>ETERMINE</w:t>
                                    </w:r>
                                  </w:hyperlink>
                                  <w:hyperlink w:anchor="toc849638_61b">
                                    <w:r>
                                      <w:rPr>
                                        <w:rStyle w:val="InternetLink"/>
                                      </w:rPr>
                                      <w:t xml:space="preserve"> P</w:t>
                                    </w:r>
                                  </w:hyperlink>
                                  <w:hyperlink w:anchor="toc849638_61b">
                                    <w:r>
                                      <w:rPr>
                                        <w:rStyle w:val="InternetLink"/>
                                        <w:sz w:val="20"/>
                                        <w:u w:val="single"/>
                                      </w:rPr>
                                      <w:t>AY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1c">
                                    <w:r>
                                      <w:rPr>
                                        <w:rStyle w:val="InternetLink"/>
                                      </w:rPr>
                                      <w:t>S</w:t>
                                    </w:r>
                                  </w:hyperlink>
                                  <w:hyperlink w:anchor="toc849638_61c">
                                    <w:r>
                                      <w:rPr>
                                        <w:rStyle w:val="InternetLink"/>
                                        <w:sz w:val="20"/>
                                        <w:u w:val="single"/>
                                      </w:rPr>
                                      <w:t>ECTION</w:t>
                                    </w:r>
                                  </w:hyperlink>
                                  <w:hyperlink w:anchor="toc849638_61c">
                                    <w:r>
                                      <w:rPr>
                                        <w:rStyle w:val="InternetLink"/>
                                      </w:rPr>
                                      <w:t> 3 – E</w:t>
                                    </w:r>
                                  </w:hyperlink>
                                  <w:hyperlink w:anchor="toc849638_61c">
                                    <w:r>
                                      <w:rPr>
                                        <w:rStyle w:val="InternetLink"/>
                                        <w:sz w:val="20"/>
                                        <w:u w:val="single"/>
                                      </w:rPr>
                                      <w:t>LEMENTS</w:t>
                                    </w:r>
                                  </w:hyperlink>
                                  <w:hyperlink w:anchor="toc849638_61c">
                                    <w:r>
                                      <w:rPr>
                                        <w:rStyle w:val="InternetLink"/>
                                      </w:rPr>
                                      <w:t xml:space="preserve"> </w:t>
                                    </w:r>
                                  </w:hyperlink>
                                  <w:hyperlink w:anchor="toc849638_61c">
                                    <w:r>
                                      <w:rPr>
                                        <w:rStyle w:val="InternetLink"/>
                                        <w:sz w:val="20"/>
                                        <w:u w:val="single"/>
                                      </w:rPr>
                                      <w:t>OF</w:t>
                                    </w:r>
                                  </w:hyperlink>
                                  <w:hyperlink w:anchor="toc849638_61c">
                                    <w:r>
                                      <w:rPr>
                                        <w:rStyle w:val="InternetLink"/>
                                      </w:rPr>
                                      <w:t xml:space="preserve"> </w:t>
                                    </w:r>
                                  </w:hyperlink>
                                  <w:hyperlink w:anchor="toc849638_61c">
                                    <w:r>
                                      <w:rPr>
                                        <w:rStyle w:val="InternetLink"/>
                                        <w:sz w:val="20"/>
                                        <w:u w:val="single"/>
                                      </w:rPr>
                                      <w:t>OUR</w:t>
                                    </w:r>
                                  </w:hyperlink>
                                  <w:hyperlink w:anchor="toc849638_61c">
                                    <w:r>
                                      <w:rPr>
                                        <w:rStyle w:val="InternetLink"/>
                                      </w:rPr>
                                      <w:t xml:space="preserve"> C</w:t>
                                    </w:r>
                                  </w:hyperlink>
                                  <w:hyperlink w:anchor="toc849638_61c">
                                    <w:r>
                                      <w:rPr>
                                        <w:rStyle w:val="InternetLink"/>
                                        <w:sz w:val="20"/>
                                        <w:u w:val="single"/>
                                      </w:rPr>
                                      <w:t>OMPENSATION</w:t>
                                    </w:r>
                                  </w:hyperlink>
                                  <w:hyperlink w:anchor="toc849638_61c">
                                    <w:r>
                                      <w:rPr>
                                        <w:rStyle w:val="InternetLink"/>
                                      </w:rPr>
                                      <w:t xml:space="preserve"> P</w:t>
                                    </w:r>
                                  </w:hyperlink>
                                  <w:hyperlink w:anchor="toc849638_61c">
                                    <w:r>
                                      <w:rPr>
                                        <w:rStyle w:val="InternetLink"/>
                                        <w:sz w:val="20"/>
                                        <w:u w:val="single"/>
                                      </w:rPr>
                                      <w:t>ROGRAM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59</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1d">
                                    <w:r>
                                      <w:rPr>
                                        <w:rStyle w:val="InternetLink"/>
                                      </w:rPr>
                                      <w:t>S</w:t>
                                    </w:r>
                                  </w:hyperlink>
                                  <w:hyperlink w:anchor="toc849638_61d">
                                    <w:r>
                                      <w:rPr>
                                        <w:rStyle w:val="InternetLink"/>
                                        <w:sz w:val="20"/>
                                        <w:u w:val="single"/>
                                      </w:rPr>
                                      <w:t>ECTION</w:t>
                                    </w:r>
                                  </w:hyperlink>
                                  <w:hyperlink w:anchor="toc849638_61d">
                                    <w:r>
                                      <w:rPr>
                                        <w:rStyle w:val="InternetLink"/>
                                      </w:rPr>
                                      <w:t> 4 – W</w:t>
                                    </w:r>
                                  </w:hyperlink>
                                  <w:hyperlink w:anchor="toc849638_61d">
                                    <w:r>
                                      <w:rPr>
                                        <w:rStyle w:val="InternetLink"/>
                                        <w:sz w:val="20"/>
                                        <w:u w:val="single"/>
                                      </w:rPr>
                                      <w:t>HAT</w:t>
                                    </w:r>
                                  </w:hyperlink>
                                  <w:hyperlink w:anchor="toc849638_61d">
                                    <w:r>
                                      <w:rPr>
                                        <w:rStyle w:val="InternetLink"/>
                                      </w:rPr>
                                      <w:t xml:space="preserve"> W</w:t>
                                    </w:r>
                                  </w:hyperlink>
                                  <w:hyperlink w:anchor="toc849638_61d">
                                    <w:r>
                                      <w:rPr>
                                        <w:rStyle w:val="InternetLink"/>
                                        <w:sz w:val="20"/>
                                        <w:u w:val="single"/>
                                      </w:rPr>
                                      <w:t>E</w:t>
                                    </w:r>
                                  </w:hyperlink>
                                  <w:hyperlink w:anchor="toc849638_61d">
                                    <w:r>
                                      <w:rPr>
                                        <w:rStyle w:val="InternetLink"/>
                                      </w:rPr>
                                      <w:t xml:space="preserve"> P</w:t>
                                    </w:r>
                                  </w:hyperlink>
                                  <w:hyperlink w:anchor="toc849638_61d">
                                    <w:r>
                                      <w:rPr>
                                        <w:rStyle w:val="InternetLink"/>
                                        <w:sz w:val="20"/>
                                        <w:u w:val="single"/>
                                      </w:rPr>
                                      <w:t>AID</w:t>
                                    </w:r>
                                  </w:hyperlink>
                                  <w:hyperlink w:anchor="toc849638_61d">
                                    <w:r>
                                      <w:rPr>
                                        <w:rStyle w:val="InternetLink"/>
                                      </w:rPr>
                                      <w:t xml:space="preserve"> </w:t>
                                    </w:r>
                                  </w:hyperlink>
                                  <w:hyperlink w:anchor="toc849638_61d">
                                    <w:r>
                                      <w:rPr>
                                        <w:rStyle w:val="InternetLink"/>
                                        <w:sz w:val="20"/>
                                        <w:u w:val="single"/>
                                      </w:rPr>
                                      <w:t>IN</w:t>
                                    </w:r>
                                  </w:hyperlink>
                                  <w:hyperlink w:anchor="toc849638_61d">
                                    <w:r>
                                      <w:rPr>
                                        <w:rStyle w:val="InternetLink"/>
                                      </w:rPr>
                                      <w:t xml:space="preserve"> 2024</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1e">
                                    <w:r>
                                      <w:rPr>
                                        <w:rStyle w:val="InternetLink"/>
                                      </w:rPr>
                                      <w:t>S</w:t>
                                    </w:r>
                                  </w:hyperlink>
                                  <w:hyperlink w:anchor="toc849638_61e">
                                    <w:r>
                                      <w:rPr>
                                        <w:rStyle w:val="InternetLink"/>
                                        <w:sz w:val="20"/>
                                        <w:u w:val="single"/>
                                      </w:rPr>
                                      <w:t>ECTION</w:t>
                                    </w:r>
                                  </w:hyperlink>
                                  <w:hyperlink w:anchor="toc849638_61e">
                                    <w:r>
                                      <w:rPr>
                                        <w:rStyle w:val="InternetLink"/>
                                      </w:rPr>
                                      <w:t> 5 – O</w:t>
                                    </w:r>
                                  </w:hyperlink>
                                  <w:hyperlink w:anchor="toc849638_61e">
                                    <w:r>
                                      <w:rPr>
                                        <w:rStyle w:val="InternetLink"/>
                                        <w:sz w:val="20"/>
                                        <w:u w:val="single"/>
                                      </w:rPr>
                                      <w:t>THER</w:t>
                                    </w:r>
                                  </w:hyperlink>
                                  <w:hyperlink w:anchor="toc849638_61e">
                                    <w:r>
                                      <w:rPr>
                                        <w:rStyle w:val="InternetLink"/>
                                      </w:rPr>
                                      <w:t xml:space="preserve"> C</w:t>
                                    </w:r>
                                  </w:hyperlink>
                                  <w:hyperlink w:anchor="toc849638_61e">
                                    <w:r>
                                      <w:rPr>
                                        <w:rStyle w:val="InternetLink"/>
                                        <w:sz w:val="20"/>
                                        <w:u w:val="single"/>
                                      </w:rPr>
                                      <w:t>OMPENSATION</w:t>
                                    </w:r>
                                  </w:hyperlink>
                                  <w:hyperlink w:anchor="toc849638_61e">
                                    <w:r>
                                      <w:rPr>
                                        <w:rStyle w:val="InternetLink"/>
                                      </w:rPr>
                                      <w:t xml:space="preserve"> </w:t>
                                    </w:r>
                                  </w:hyperlink>
                                  <w:hyperlink w:anchor="toc849638_61e">
                                    <w:r>
                                      <w:rPr>
                                        <w:rStyle w:val="InternetLink"/>
                                        <w:sz w:val="20"/>
                                        <w:u w:val="single"/>
                                      </w:rPr>
                                      <w:t>AND</w:t>
                                    </w:r>
                                  </w:hyperlink>
                                  <w:hyperlink w:anchor="toc849638_61e">
                                    <w:r>
                                      <w:rPr>
                                        <w:rStyle w:val="InternetLink"/>
                                      </w:rPr>
                                      <w:t xml:space="preserve"> P</w:t>
                                    </w:r>
                                  </w:hyperlink>
                                  <w:hyperlink w:anchor="toc849638_61e">
                                    <w:r>
                                      <w:rPr>
                                        <w:rStyle w:val="InternetLink"/>
                                        <w:sz w:val="20"/>
                                        <w:u w:val="single"/>
                                      </w:rPr>
                                      <w:t>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2">
                                    <w:r>
                                      <w:rPr>
                                        <w:rStyle w:val="InternetLink"/>
                                        <w:b/>
                                        <w:color w:val="1070B8"/>
                                      </w:rPr>
                                      <w:t>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68</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63">
                                    <w:r>
                                      <w:rPr>
                                        <w:rStyle w:val="InternetLink"/>
                                      </w:rPr>
                                      <w:t>S</w:t>
                                    </w:r>
                                  </w:hyperlink>
                                  <w:hyperlink w:anchor="toc849638_63">
                                    <w:r>
                                      <w:rPr>
                                        <w:rStyle w:val="InternetLink"/>
                                        <w:sz w:val="20"/>
                                        <w:u w:val="single"/>
                                      </w:rPr>
                                      <w:t>UMMARY</w:t>
                                    </w:r>
                                  </w:hyperlink>
                                  <w:hyperlink w:anchor="toc849638_63">
                                    <w:r>
                                      <w:rPr>
                                        <w:rStyle w:val="InternetLink"/>
                                      </w:rPr>
                                      <w:t xml:space="preserve"> C</w:t>
                                    </w:r>
                                  </w:hyperlink>
                                  <w:hyperlink w:anchor="toc849638_63">
                                    <w:r>
                                      <w:rPr>
                                        <w:rStyle w:val="InternetLink"/>
                                        <w:sz w:val="20"/>
                                        <w:u w:val="single"/>
                                      </w:rPr>
                                      <w:t>OMPENSATION</w:t>
                                    </w:r>
                                  </w:hyperlink>
                                  <w:hyperlink w:anchor="toc849638_63">
                                    <w:r>
                                      <w:rPr>
                                        <w:rStyle w:val="InternetLink"/>
                                      </w:rPr>
                                      <w:t xml:space="preserve"> T</w:t>
                                    </w:r>
                                  </w:hyperlink>
                                  <w:hyperlink w:anchor="toc849638_63">
                                    <w:r>
                                      <w:rPr>
                                        <w:rStyle w:val="InternetLink"/>
                                        <w:sz w:val="20"/>
                                        <w:u w:val="single"/>
                                      </w:rPr>
                                      <w: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4">
                                    <w:r>
                                      <w:rPr>
                                        <w:rStyle w:val="InternetLink"/>
                                      </w:rPr>
                                      <w:t>G</w:t>
                                    </w:r>
                                  </w:hyperlink>
                                  <w:hyperlink w:anchor="toc849638_64">
                                    <w:r>
                                      <w:rPr>
                                        <w:rStyle w:val="InternetLink"/>
                                        <w:sz w:val="20"/>
                                        <w:u w:val="single"/>
                                      </w:rPr>
                                      <w:t>RANTS</w:t>
                                    </w:r>
                                  </w:hyperlink>
                                  <w:hyperlink w:anchor="toc849638_64">
                                    <w:r>
                                      <w:rPr>
                                        <w:rStyle w:val="InternetLink"/>
                                      </w:rPr>
                                      <w:t xml:space="preserve"> </w:t>
                                    </w:r>
                                  </w:hyperlink>
                                  <w:hyperlink w:anchor="toc849638_64">
                                    <w:r>
                                      <w:rPr>
                                        <w:rStyle w:val="InternetLink"/>
                                        <w:sz w:val="20"/>
                                        <w:u w:val="single"/>
                                      </w:rPr>
                                      <w:t>OF</w:t>
                                    </w:r>
                                  </w:hyperlink>
                                  <w:hyperlink w:anchor="toc849638_64">
                                    <w:r>
                                      <w:rPr>
                                        <w:rStyle w:val="InternetLink"/>
                                      </w:rPr>
                                      <w:t xml:space="preserve"> P</w:t>
                                    </w:r>
                                  </w:hyperlink>
                                  <w:hyperlink w:anchor="toc849638_64">
                                    <w:r>
                                      <w:rPr>
                                        <w:rStyle w:val="InternetLink"/>
                                        <w:sz w:val="20"/>
                                        <w:u w:val="single"/>
                                      </w:rPr>
                                      <w:t>LAN</w:t>
                                    </w:r>
                                  </w:hyperlink>
                                  <w:hyperlink w:anchor="toc849638_64">
                                    <w:r>
                                      <w:rPr>
                                        <w:rStyle w:val="InternetLink"/>
                                      </w:rPr>
                                      <w:t>-B</w:t>
                                    </w:r>
                                  </w:hyperlink>
                                  <w:hyperlink w:anchor="toc849638_64">
                                    <w:r>
                                      <w:rPr>
                                        <w:rStyle w:val="InternetLink"/>
                                        <w:sz w:val="20"/>
                                        <w:u w:val="single"/>
                                      </w:rPr>
                                      <w:t>ASED</w:t>
                                    </w:r>
                                  </w:hyperlink>
                                  <w:hyperlink w:anchor="toc849638_64">
                                    <w:r>
                                      <w:rPr>
                                        <w:rStyle w:val="InternetLink"/>
                                      </w:rPr>
                                      <w:t xml:space="preserve"> A</w:t>
                                    </w:r>
                                  </w:hyperlink>
                                  <w:hyperlink w:anchor="toc849638_64">
                                    <w:r>
                                      <w:rPr>
                                        <w:rStyle w:val="InternetLink"/>
                                        <w:sz w:val="20"/>
                                        <w:u w:val="single"/>
                                      </w:rPr>
                                      <w:t>WARDS</w:t>
                                    </w:r>
                                  </w:hyperlink>
                                  <w:hyperlink w:anchor="toc849638_64">
                                    <w:r>
                                      <w:rPr>
                                        <w:rStyle w:val="InternetLink"/>
                                      </w:rPr>
                                      <w:t xml:space="preserve"> </w:t>
                                    </w:r>
                                  </w:hyperlink>
                                  <w:hyperlink w:anchor="toc849638_64">
                                    <w:r>
                                      <w:rPr>
                                        <w:rStyle w:val="InternetLink"/>
                                        <w:sz w:val="20"/>
                                        <w:u w:val="single"/>
                                      </w:rPr>
                                      <w:t>FOR</w:t>
                                    </w:r>
                                  </w:hyperlink>
                                  <w:hyperlink w:anchor="toc849638_64">
                                    <w:r>
                                      <w:rPr>
                                        <w:rStyle w:val="InternetLink"/>
                                      </w:rPr>
                                      <w:t xml:space="preserve"> 2024</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5">
                                    <w:r>
                                      <w:rPr>
                                        <w:rStyle w:val="InternetLink"/>
                                      </w:rPr>
                                      <w:t>O</w:t>
                                    </w:r>
                                  </w:hyperlink>
                                  <w:hyperlink w:anchor="toc849638_65">
                                    <w:r>
                                      <w:rPr>
                                        <w:rStyle w:val="InternetLink"/>
                                        <w:sz w:val="20"/>
                                        <w:u w:val="single"/>
                                      </w:rPr>
                                      <w:t>UTSTANDING</w:t>
                                    </w:r>
                                  </w:hyperlink>
                                  <w:hyperlink w:anchor="toc849638_65">
                                    <w:r>
                                      <w:rPr>
                                        <w:rStyle w:val="InternetLink"/>
                                      </w:rPr>
                                      <w:t xml:space="preserve"> E</w:t>
                                    </w:r>
                                  </w:hyperlink>
                                  <w:hyperlink w:anchor="toc849638_65">
                                    <w:r>
                                      <w:rPr>
                                        <w:rStyle w:val="InternetLink"/>
                                        <w:sz w:val="20"/>
                                        <w:u w:val="single"/>
                                      </w:rPr>
                                      <w:t>QUITY</w:t>
                                    </w:r>
                                  </w:hyperlink>
                                  <w:hyperlink w:anchor="toc849638_65">
                                    <w:r>
                                      <w:rPr>
                                        <w:rStyle w:val="InternetLink"/>
                                      </w:rPr>
                                      <w:t xml:space="preserve"> A</w:t>
                                    </w:r>
                                  </w:hyperlink>
                                  <w:hyperlink w:anchor="toc849638_65">
                                    <w:r>
                                      <w:rPr>
                                        <w:rStyle w:val="InternetLink"/>
                                        <w:sz w:val="20"/>
                                        <w:u w:val="single"/>
                                      </w:rPr>
                                      <w:t>WARDS</w:t>
                                    </w:r>
                                  </w:hyperlink>
                                  <w:hyperlink w:anchor="toc849638_65">
                                    <w:r>
                                      <w:rPr>
                                        <w:rStyle w:val="InternetLink"/>
                                      </w:rPr>
                                      <w:t xml:space="preserve"> T</w:t>
                                    </w:r>
                                  </w:hyperlink>
                                  <w:hyperlink w:anchor="toc849638_65">
                                    <w:r>
                                      <w:rPr>
                                        <w:rStyle w:val="InternetLink"/>
                                        <w:sz w:val="20"/>
                                        <w:u w:val="single"/>
                                      </w:rPr>
                                      <w: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6">
                                    <w:r>
                                      <w:rPr>
                                        <w:rStyle w:val="InternetLink"/>
                                      </w:rPr>
                                      <w:t>S</w:t>
                                    </w:r>
                                  </w:hyperlink>
                                  <w:hyperlink w:anchor="toc849638_66">
                                    <w:r>
                                      <w:rPr>
                                        <w:rStyle w:val="InternetLink"/>
                                        <w:sz w:val="20"/>
                                        <w:u w:val="single"/>
                                      </w:rPr>
                                      <w:t>TOCK</w:t>
                                    </w:r>
                                  </w:hyperlink>
                                  <w:hyperlink w:anchor="toc849638_66">
                                    <w:r>
                                      <w:rPr>
                                        <w:rStyle w:val="InternetLink"/>
                                      </w:rPr>
                                      <w:t xml:space="preserve"> V</w:t>
                                    </w:r>
                                  </w:hyperlink>
                                  <w:hyperlink w:anchor="toc849638_66">
                                    <w:r>
                                      <w:rPr>
                                        <w:rStyle w:val="InternetLink"/>
                                        <w:sz w:val="20"/>
                                        <w:u w:val="single"/>
                                      </w:rPr>
                                      <w:t>ESTED</w:t>
                                    </w:r>
                                  </w:hyperlink>
                                  <w:hyperlink w:anchor="toc849638_66">
                                    <w:r>
                                      <w:rPr>
                                        <w:rStyle w:val="InternetLink"/>
                                      </w:rPr>
                                      <w:t xml:space="preserve"> </w:t>
                                    </w:r>
                                  </w:hyperlink>
                                  <w:hyperlink w:anchor="toc849638_66">
                                    <w:r>
                                      <w:rPr>
                                        <w:rStyle w:val="InternetLink"/>
                                        <w:sz w:val="20"/>
                                        <w:u w:val="single"/>
                                      </w:rPr>
                                      <w:t>AS</w:t>
                                    </w:r>
                                  </w:hyperlink>
                                  <w:hyperlink w:anchor="toc849638_66">
                                    <w:r>
                                      <w:rPr>
                                        <w:rStyle w:val="InternetLink"/>
                                      </w:rPr>
                                      <w:t xml:space="preserve"> </w:t>
                                    </w:r>
                                  </w:hyperlink>
                                  <w:hyperlink w:anchor="toc849638_66">
                                    <w:r>
                                      <w:rPr>
                                        <w:rStyle w:val="InternetLink"/>
                                        <w:sz w:val="20"/>
                                        <w:u w:val="single"/>
                                      </w:rPr>
                                      <w:t>OF</w:t>
                                    </w:r>
                                  </w:hyperlink>
                                  <w:hyperlink w:anchor="toc849638_66">
                                    <w:r>
                                      <w:rPr>
                                        <w:rStyle w:val="InternetLink"/>
                                      </w:rPr>
                                      <w:t xml:space="preserve"> D</w:t>
                                    </w:r>
                                  </w:hyperlink>
                                  <w:hyperlink w:anchor="toc849638_66">
                                    <w:r>
                                      <w:rPr>
                                        <w:rStyle w:val="InternetLink"/>
                                        <w:sz w:val="20"/>
                                        <w:u w:val="single"/>
                                      </w:rPr>
                                      <w:t>ECEMBER</w:t>
                                    </w:r>
                                  </w:hyperlink>
                                  <w:hyperlink w:anchor="toc849638_66">
                                    <w:r>
                                      <w:rPr>
                                        <w:rStyle w:val="InternetLink"/>
                                      </w:rPr>
                                      <w:t xml:space="preserve"> 31, 2024</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7">
                                    <w:r>
                                      <w:rPr>
                                        <w:rStyle w:val="InternetLink"/>
                                      </w:rPr>
                                      <w:t>P</w:t>
                                    </w:r>
                                  </w:hyperlink>
                                  <w:hyperlink w:anchor="toc849638_67">
                                    <w:r>
                                      <w:rPr>
                                        <w:rStyle w:val="InternetLink"/>
                                        <w:sz w:val="20"/>
                                        <w:u w:val="single"/>
                                      </w:rPr>
                                      <w:t>ENSION</w:t>
                                    </w:r>
                                  </w:hyperlink>
                                  <w:hyperlink w:anchor="toc849638_67">
                                    <w:r>
                                      <w:rPr>
                                        <w:rStyle w:val="InternetLink"/>
                                      </w:rPr>
                                      <w:t xml:space="preserve"> B</w:t>
                                    </w:r>
                                  </w:hyperlink>
                                  <w:hyperlink w:anchor="toc849638_67">
                                    <w:r>
                                      <w:rPr>
                                        <w:rStyle w:val="InternetLink"/>
                                        <w:sz w:val="20"/>
                                        <w:u w:val="single"/>
                                      </w:rPr>
                                      <w:t>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8">
                                    <w:r>
                                      <w:rPr>
                                        <w:rStyle w:val="InternetLink"/>
                                      </w:rPr>
                                      <w:t>N</w:t>
                                    </w:r>
                                  </w:hyperlink>
                                  <w:hyperlink w:anchor="toc849638_68">
                                    <w:r>
                                      <w:rPr>
                                        <w:rStyle w:val="InternetLink"/>
                                        <w:sz w:val="20"/>
                                        <w:u w:val="single"/>
                                      </w:rPr>
                                      <w:t>ON</w:t>
                                    </w:r>
                                  </w:hyperlink>
                                  <w:hyperlink w:anchor="toc849638_68">
                                    <w:r>
                                      <w:rPr>
                                        <w:rStyle w:val="InternetLink"/>
                                      </w:rPr>
                                      <w:t>-Q</w:t>
                                    </w:r>
                                  </w:hyperlink>
                                  <w:hyperlink w:anchor="toc849638_68">
                                    <w:r>
                                      <w:rPr>
                                        <w:rStyle w:val="InternetLink"/>
                                        <w:sz w:val="20"/>
                                        <w:u w:val="single"/>
                                      </w:rPr>
                                      <w:t>UALIFIED</w:t>
                                    </w:r>
                                  </w:hyperlink>
                                  <w:hyperlink w:anchor="toc849638_68">
                                    <w:r>
                                      <w:rPr>
                                        <w:rStyle w:val="InternetLink"/>
                                      </w:rPr>
                                      <w:t xml:space="preserve"> D</w:t>
                                    </w:r>
                                  </w:hyperlink>
                                  <w:hyperlink w:anchor="toc849638_68">
                                    <w:r>
                                      <w:rPr>
                                        <w:rStyle w:val="InternetLink"/>
                                        <w:sz w:val="20"/>
                                        <w:u w:val="single"/>
                                      </w:rPr>
                                      <w:t>EFERRED</w:t>
                                    </w:r>
                                  </w:hyperlink>
                                  <w:hyperlink w:anchor="toc849638_68">
                                    <w:r>
                                      <w:rPr>
                                        <w:rStyle w:val="InternetLink"/>
                                      </w:rPr>
                                      <w:t xml:space="preserve"> C</w:t>
                                    </w:r>
                                  </w:hyperlink>
                                  <w:hyperlink w:anchor="toc849638_68">
                                    <w:r>
                                      <w:rPr>
                                        <w:rStyle w:val="InternetLink"/>
                                        <w:sz w:val="20"/>
                                        <w:u w:val="single"/>
                                      </w:rPr>
                                      <w:t>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9">
                                    <w:r>
                                      <w:rPr>
                                        <w:rStyle w:val="InternetLink"/>
                                      </w:rPr>
                                      <w:t>E</w:t>
                                    </w:r>
                                  </w:hyperlink>
                                  <w:hyperlink w:anchor="toc849638_69">
                                    <w:r>
                                      <w:rPr>
                                        <w:rStyle w:val="InternetLink"/>
                                        <w:sz w:val="20"/>
                                        <w:u w:val="single"/>
                                      </w:rPr>
                                      <w:t>MPLOYMENT</w:t>
                                    </w:r>
                                  </w:hyperlink>
                                  <w:hyperlink w:anchor="toc849638_69">
                                    <w:r>
                                      <w:rPr>
                                        <w:rStyle w:val="InternetLink"/>
                                      </w:rPr>
                                      <w:t xml:space="preserve"> A</w:t>
                                    </w:r>
                                  </w:hyperlink>
                                  <w:hyperlink w:anchor="toc849638_69">
                                    <w:r>
                                      <w:rPr>
                                        <w:rStyle w:val="InternetLink"/>
                                        <w:sz w:val="20"/>
                                        <w:u w:val="single"/>
                                      </w:rPr>
                                      <w:t>GREEMENTS</w:t>
                                    </w:r>
                                  </w:hyperlink>
                                  <w:hyperlink w:anchor="toc849638_69">
                                    <w:r>
                                      <w:rPr>
                                        <w:rStyle w:val="InternetLink"/>
                                      </w:rPr>
                                      <w:t>, S</w:t>
                                    </w:r>
                                  </w:hyperlink>
                                  <w:hyperlink w:anchor="toc849638_69">
                                    <w:r>
                                      <w:rPr>
                                        <w:rStyle w:val="InternetLink"/>
                                        <w:sz w:val="20"/>
                                        <w:u w:val="single"/>
                                      </w:rPr>
                                      <w:t>EVERANCE</w:t>
                                    </w:r>
                                  </w:hyperlink>
                                  <w:hyperlink w:anchor="toc849638_69">
                                    <w:r>
                                      <w:rPr>
                                        <w:rStyle w:val="InternetLink"/>
                                      </w:rPr>
                                      <w:t xml:space="preserve"> </w:t>
                                    </w:r>
                                  </w:hyperlink>
                                  <w:hyperlink w:anchor="toc849638_69">
                                    <w:r>
                                      <w:rPr>
                                        <w:rStyle w:val="InternetLink"/>
                                        <w:sz w:val="20"/>
                                        <w:u w:val="single"/>
                                      </w:rPr>
                                      <w:t>AND</w:t>
                                    </w:r>
                                  </w:hyperlink>
                                  <w:hyperlink w:anchor="toc849638_69">
                                    <w:r>
                                      <w:rPr>
                                        <w:rStyle w:val="InternetLink"/>
                                      </w:rPr>
                                      <w:t xml:space="preserve"> C</w:t>
                                    </w:r>
                                  </w:hyperlink>
                                  <w:hyperlink w:anchor="toc849638_69">
                                    <w:r>
                                      <w:rPr>
                                        <w:rStyle w:val="InternetLink"/>
                                        <w:sz w:val="20"/>
                                        <w:u w:val="single"/>
                                      </w:rPr>
                                      <w:t>HANGE</w:t>
                                    </w:r>
                                  </w:hyperlink>
                                  <w:hyperlink w:anchor="toc849638_69">
                                    <w:r>
                                      <w:rPr>
                                        <w:rStyle w:val="InternetLink"/>
                                      </w:rPr>
                                      <w:t xml:space="preserve"> </w:t>
                                    </w:r>
                                  </w:hyperlink>
                                  <w:hyperlink w:anchor="toc849638_69">
                                    <w:r>
                                      <w:rPr>
                                        <w:rStyle w:val="InternetLink"/>
                                        <w:sz w:val="20"/>
                                        <w:u w:val="single"/>
                                      </w:rPr>
                                      <w:t>IN</w:t>
                                    </w:r>
                                  </w:hyperlink>
                                  <w:hyperlink w:anchor="toc849638_69">
                                    <w:r>
                                      <w:rPr>
                                        <w:rStyle w:val="InternetLink"/>
                                      </w:rPr>
                                      <w:t xml:space="preserve"> C</w:t>
                                    </w:r>
                                  </w:hyperlink>
                                  <w:hyperlink w:anchor="toc849638_69">
                                    <w:r>
                                      <w:rPr>
                                        <w:rStyle w:val="InternetLink"/>
                                        <w:sz w:val="20"/>
                                        <w:u w:val="single"/>
                                      </w:rPr>
                                      <w:t>ONTROL</w:t>
                                    </w:r>
                                  </w:hyperlink>
                                  <w:hyperlink w:anchor="toc849638_69">
                                    <w:r>
                                      <w:rPr>
                                        <w:rStyle w:val="InternetLink"/>
                                      </w:rPr>
                                      <w:t xml:space="preserve"> B</w:t>
                                    </w:r>
                                  </w:hyperlink>
                                  <w:hyperlink w:anchor="toc849638_69">
                                    <w:r>
                                      <w:rPr>
                                        <w:rStyle w:val="InternetLink"/>
                                        <w:sz w:val="20"/>
                                        <w:u w:val="single"/>
                                      </w:rPr>
                                      <w:t>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0">
                                    <w:r>
                                      <w:rPr>
                                        <w:rStyle w:val="InternetLink"/>
                                      </w:rPr>
                                      <w:t>C</w:t>
                                    </w:r>
                                  </w:hyperlink>
                                  <w:hyperlink w:anchor="toc849638_70">
                                    <w:r>
                                      <w:rPr>
                                        <w:rStyle w:val="InternetLink"/>
                                        <w:sz w:val="20"/>
                                        <w:u w:val="single"/>
                                      </w:rPr>
                                      <w:t>HIEF</w:t>
                                    </w:r>
                                  </w:hyperlink>
                                  <w:hyperlink w:anchor="toc849638_70">
                                    <w:r>
                                      <w:rPr>
                                        <w:rStyle w:val="InternetLink"/>
                                      </w:rPr>
                                      <w:t xml:space="preserve"> E</w:t>
                                    </w:r>
                                  </w:hyperlink>
                                  <w:hyperlink w:anchor="toc849638_70">
                                    <w:r>
                                      <w:rPr>
                                        <w:rStyle w:val="InternetLink"/>
                                        <w:sz w:val="20"/>
                                        <w:u w:val="single"/>
                                      </w:rPr>
                                      <w:t>XECUTIVE</w:t>
                                    </w:r>
                                  </w:hyperlink>
                                  <w:hyperlink w:anchor="toc849638_70">
                                    <w:r>
                                      <w:rPr>
                                        <w:rStyle w:val="InternetLink"/>
                                      </w:rPr>
                                      <w:t xml:space="preserve"> O</w:t>
                                    </w:r>
                                  </w:hyperlink>
                                  <w:hyperlink w:anchor="toc849638_70">
                                    <w:r>
                                      <w:rPr>
                                        <w:rStyle w:val="InternetLink"/>
                                        <w:sz w:val="20"/>
                                        <w:u w:val="single"/>
                                      </w:rPr>
                                      <w:t>FFICER</w:t>
                                    </w:r>
                                  </w:hyperlink>
                                  <w:hyperlink w:anchor="toc849638_70">
                                    <w:r>
                                      <w:rPr>
                                        <w:rStyle w:val="InternetLink"/>
                                      </w:rPr>
                                      <w:t xml:space="preserve"> P</w:t>
                                    </w:r>
                                  </w:hyperlink>
                                  <w:hyperlink w:anchor="toc849638_70">
                                    <w:r>
                                      <w:rPr>
                                        <w:rStyle w:val="InternetLink"/>
                                        <w:sz w:val="20"/>
                                        <w:u w:val="single"/>
                                      </w:rPr>
                                      <w:t>AY</w:t>
                                    </w:r>
                                  </w:hyperlink>
                                  <w:hyperlink w:anchor="toc849638_70">
                                    <w:r>
                                      <w:rPr>
                                        <w:rStyle w:val="InternetLink"/>
                                      </w:rPr>
                                      <w:t xml:space="preserve"> R</w:t>
                                    </w:r>
                                  </w:hyperlink>
                                  <w:hyperlink w:anchor="toc849638_70">
                                    <w:r>
                                      <w:rPr>
                                        <w:rStyle w:val="InternetLink"/>
                                        <w:sz w:val="20"/>
                                        <w:u w:val="single"/>
                                      </w:rPr>
                                      <w:t>ATIO</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1">
                                    <w:r>
                                      <w:rPr>
                                        <w:rStyle w:val="InternetLink"/>
                                      </w:rPr>
                                      <w:t>P</w:t>
                                    </w:r>
                                  </w:hyperlink>
                                  <w:hyperlink w:anchor="toc849638_71">
                                    <w:r>
                                      <w:rPr>
                                        <w:rStyle w:val="InternetLink"/>
                                        <w:sz w:val="20"/>
                                        <w:u w:val="single"/>
                                      </w:rPr>
                                      <w:t>AY</w:t>
                                    </w:r>
                                  </w:hyperlink>
                                  <w:hyperlink w:anchor="toc849638_71">
                                    <w:r>
                                      <w:rPr>
                                        <w:rStyle w:val="InternetLink"/>
                                      </w:rPr>
                                      <w:t xml:space="preserve"> V</w:t>
                                    </w:r>
                                  </w:hyperlink>
                                  <w:hyperlink w:anchor="toc849638_71">
                                    <w:r>
                                      <w:rPr>
                                        <w:rStyle w:val="InternetLink"/>
                                        <w:sz w:val="20"/>
                                        <w:u w:val="single"/>
                                      </w:rPr>
                                      <w:t>ERSUS</w:t>
                                    </w:r>
                                  </w:hyperlink>
                                  <w:hyperlink w:anchor="toc849638_71">
                                    <w:r>
                                      <w:rPr>
                                        <w:rStyle w:val="InternetLink"/>
                                      </w:rPr>
                                      <w:t xml:space="preserve"> P</w:t>
                                    </w:r>
                                  </w:hyperlink>
                                  <w:hyperlink w:anchor="toc849638_71">
                                    <w:r>
                                      <w:rPr>
                                        <w:rStyle w:val="InternetLink"/>
                                        <w:sz w:val="20"/>
                                        <w:u w:val="single"/>
                                      </w:rPr>
                                      <w:t>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2">
                                    <w:r>
                                      <w:rPr>
                                        <w:rStyle w:val="InternetLink"/>
                                        <w:b/>
                                        <w:color w:val="1070B8"/>
                                      </w:rPr>
                                      <w:t>STOCK OWNERSHIP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79</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73">
                                    <w:r>
                                      <w:rPr>
                                        <w:rStyle w:val="InternetLink"/>
                                      </w:rPr>
                                      <w:t>S</w:t>
                                    </w:r>
                                  </w:hyperlink>
                                  <w:hyperlink w:anchor="toc849638_73">
                                    <w:r>
                                      <w:rPr>
                                        <w:rStyle w:val="InternetLink"/>
                                        <w:sz w:val="20"/>
                                        <w:u w:val="single"/>
                                      </w:rPr>
                                      <w:t>TOCK</w:t>
                                    </w:r>
                                  </w:hyperlink>
                                  <w:hyperlink w:anchor="toc849638_73">
                                    <w:r>
                                      <w:rPr>
                                        <w:rStyle w:val="InternetLink"/>
                                      </w:rPr>
                                      <w:t xml:space="preserve"> O</w:t>
                                    </w:r>
                                  </w:hyperlink>
                                  <w:hyperlink w:anchor="toc849638_73">
                                    <w:r>
                                      <w:rPr>
                                        <w:rStyle w:val="InternetLink"/>
                                        <w:sz w:val="20"/>
                                        <w:u w:val="single"/>
                                      </w:rPr>
                                      <w:t>WNERSHIP</w:t>
                                    </w:r>
                                  </w:hyperlink>
                                  <w:hyperlink w:anchor="toc849638_73">
                                    <w:r>
                                      <w:rPr>
                                        <w:rStyle w:val="InternetLink"/>
                                      </w:rPr>
                                      <w:t xml:space="preserve"> T</w:t>
                                    </w:r>
                                  </w:hyperlink>
                                  <w:hyperlink w:anchor="toc849638_73">
                                    <w:r>
                                      <w:rPr>
                                        <w:rStyle w:val="InternetLink"/>
                                        <w:sz w:val="20"/>
                                        <w:u w:val="single"/>
                                      </w:rPr>
                                      <w: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4">
                                    <w:r>
                                      <w:rPr>
                                        <w:rStyle w:val="InternetLink"/>
                                      </w:rPr>
                                      <w:t>S</w:t>
                                    </w:r>
                                  </w:hyperlink>
                                  <w:hyperlink w:anchor="toc849638_74">
                                    <w:r>
                                      <w:rPr>
                                        <w:rStyle w:val="InternetLink"/>
                                        <w:sz w:val="20"/>
                                        <w:u w:val="single"/>
                                      </w:rPr>
                                      <w:t>ECURITIES</w:t>
                                    </w:r>
                                  </w:hyperlink>
                                  <w:hyperlink w:anchor="toc849638_74">
                                    <w:r>
                                      <w:rPr>
                                        <w:rStyle w:val="InternetLink"/>
                                      </w:rPr>
                                      <w:t xml:space="preserve"> A</w:t>
                                    </w:r>
                                  </w:hyperlink>
                                  <w:hyperlink w:anchor="toc849638_74">
                                    <w:r>
                                      <w:rPr>
                                        <w:rStyle w:val="InternetLink"/>
                                        <w:sz w:val="20"/>
                                        <w:u w:val="single"/>
                                      </w:rPr>
                                      <w:t>UTHORIZED</w:t>
                                    </w:r>
                                  </w:hyperlink>
                                  <w:hyperlink w:anchor="toc849638_74">
                                    <w:r>
                                      <w:rPr>
                                        <w:rStyle w:val="InternetLink"/>
                                      </w:rPr>
                                      <w:t xml:space="preserve"> </w:t>
                                    </w:r>
                                  </w:hyperlink>
                                  <w:hyperlink w:anchor="toc849638_74">
                                    <w:r>
                                      <w:rPr>
                                        <w:rStyle w:val="InternetLink"/>
                                        <w:sz w:val="20"/>
                                        <w:u w:val="single"/>
                                      </w:rPr>
                                      <w:t>FOR</w:t>
                                    </w:r>
                                  </w:hyperlink>
                                  <w:hyperlink w:anchor="toc849638_74">
                                    <w:r>
                                      <w:rPr>
                                        <w:rStyle w:val="InternetLink"/>
                                      </w:rPr>
                                      <w:t xml:space="preserve"> I</w:t>
                                    </w:r>
                                  </w:hyperlink>
                                  <w:hyperlink w:anchor="toc849638_74">
                                    <w:r>
                                      <w:rPr>
                                        <w:rStyle w:val="InternetLink"/>
                                        <w:sz w:val="20"/>
                                        <w:u w:val="single"/>
                                      </w:rPr>
                                      <w:t>SSUANCE</w:t>
                                    </w:r>
                                  </w:hyperlink>
                                  <w:hyperlink w:anchor="toc849638_74">
                                    <w:r>
                                      <w:rPr>
                                        <w:rStyle w:val="InternetLink"/>
                                      </w:rPr>
                                      <w:t xml:space="preserve"> </w:t>
                                    </w:r>
                                  </w:hyperlink>
                                  <w:hyperlink w:anchor="toc849638_74">
                                    <w:r>
                                      <w:rPr>
                                        <w:rStyle w:val="InternetLink"/>
                                        <w:sz w:val="20"/>
                                        <w:u w:val="single"/>
                                      </w:rPr>
                                      <w:t>UNDER</w:t>
                                    </w:r>
                                  </w:hyperlink>
                                  <w:hyperlink w:anchor="toc849638_74">
                                    <w:r>
                                      <w:rPr>
                                        <w:rStyle w:val="InternetLink"/>
                                      </w:rPr>
                                      <w:t xml:space="preserve"> E</w:t>
                                    </w:r>
                                  </w:hyperlink>
                                  <w:hyperlink w:anchor="toc849638_74">
                                    <w:r>
                                      <w:rPr>
                                        <w:rStyle w:val="InternetLink"/>
                                        <w:sz w:val="20"/>
                                        <w:u w:val="single"/>
                                      </w:rPr>
                                      <w:t>QUITY</w:t>
                                    </w:r>
                                  </w:hyperlink>
                                  <w:hyperlink w:anchor="toc849638_74">
                                    <w:r>
                                      <w:rPr>
                                        <w:rStyle w:val="InternetLink"/>
                                      </w:rPr>
                                      <w:t xml:space="preserve"> C</w:t>
                                    </w:r>
                                  </w:hyperlink>
                                  <w:hyperlink w:anchor="toc849638_74">
                                    <w:r>
                                      <w:rPr>
                                        <w:rStyle w:val="InternetLink"/>
                                        <w:sz w:val="20"/>
                                        <w:u w:val="single"/>
                                      </w:rPr>
                                      <w:t>OMPENSATION</w:t>
                                    </w:r>
                                  </w:hyperlink>
                                  <w:hyperlink w:anchor="toc849638_74">
                                    <w:r>
                                      <w:rPr>
                                        <w:rStyle w:val="InternetLink"/>
                                      </w:rPr>
                                      <w:t xml:space="preserve"> P</w:t>
                                    </w:r>
                                  </w:hyperlink>
                                  <w:hyperlink w:anchor="toc849638_74">
                                    <w:r>
                                      <w:rPr>
                                        <w:rStyle w:val="InternetLink"/>
                                        <w:sz w:val="20"/>
                                        <w:u w:val="single"/>
                                      </w:rPr>
                                      <w:t>LANS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5">
                                    <w:r>
                                      <w:rPr>
                                        <w:rStyle w:val="InternetLink"/>
                                        <w:b/>
                                        <w:color w:val="1070B8"/>
                                      </w:rPr>
                                      <w:t>RELATED PARTY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83</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76">
                                    <w:r>
                                      <w:rPr>
                                        <w:rStyle w:val="InternetLink"/>
                                      </w:rPr>
                                      <w:t>A</w:t>
                                    </w:r>
                                  </w:hyperlink>
                                  <w:hyperlink w:anchor="toc849638_76">
                                    <w:r>
                                      <w:rPr>
                                        <w:rStyle w:val="InternetLink"/>
                                        <w:sz w:val="20"/>
                                        <w:u w:val="single"/>
                                      </w:rPr>
                                      <w:t>FFILIATE</w:t>
                                    </w:r>
                                  </w:hyperlink>
                                  <w:hyperlink w:anchor="toc849638_76">
                                    <w:r>
                                      <w:rPr>
                                        <w:rStyle w:val="InternetLink"/>
                                      </w:rPr>
                                      <w:t xml:space="preserve"> S</w:t>
                                    </w:r>
                                  </w:hyperlink>
                                  <w:hyperlink w:anchor="toc849638_76">
                                    <w:r>
                                      <w:rPr>
                                        <w:rStyle w:val="InternetLink"/>
                                        <w:sz w:val="20"/>
                                        <w:u w:val="single"/>
                                      </w:rPr>
                                      <w:t>ALES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7">
                                    <w:r>
                                      <w:rPr>
                                        <w:rStyle w:val="InternetLink"/>
                                      </w:rPr>
                                      <w:t>R</w:t>
                                    </w:r>
                                  </w:hyperlink>
                                  <w:hyperlink w:anchor="toc849638_77">
                                    <w:r>
                                      <w:rPr>
                                        <w:rStyle w:val="InternetLink"/>
                                        <w:sz w:val="20"/>
                                        <w:u w:val="single"/>
                                      </w:rPr>
                                      <w:t>EAL</w:t>
                                    </w:r>
                                  </w:hyperlink>
                                  <w:hyperlink w:anchor="toc849638_77">
                                    <w:r>
                                      <w:rPr>
                                        <w:rStyle w:val="InternetLink"/>
                                      </w:rPr>
                                      <w:t xml:space="preserve"> P</w:t>
                                    </w:r>
                                  </w:hyperlink>
                                  <w:hyperlink w:anchor="toc849638_77">
                                    <w:r>
                                      <w:rPr>
                                        <w:rStyle w:val="InternetLink"/>
                                        <w:sz w:val="20"/>
                                        <w:u w:val="single"/>
                                      </w:rPr>
                                      <w:t>ROPERTY</w:t>
                                    </w:r>
                                  </w:hyperlink>
                                  <w:hyperlink w:anchor="toc849638_77">
                                    <w:r>
                                      <w:rPr>
                                        <w:rStyle w:val="InternetLink"/>
                                      </w:rPr>
                                      <w:t xml:space="preserve"> L</w:t>
                                    </w:r>
                                  </w:hyperlink>
                                  <w:hyperlink w:anchor="toc849638_77">
                                    <w:r>
                                      <w:rPr>
                                        <w:rStyle w:val="InternetLink"/>
                                        <w:sz w:val="20"/>
                                        <w:u w:val="single"/>
                                      </w:rPr>
                                      <w:t>EASES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8">
                                    <w:r>
                                      <w:rPr>
                                        <w:rStyle w:val="InternetLink"/>
                                      </w:rPr>
                                      <w:t>A</w:t>
                                    </w:r>
                                  </w:hyperlink>
                                  <w:hyperlink w:anchor="toc849638_78">
                                    <w:r>
                                      <w:rPr>
                                        <w:rStyle w:val="InternetLink"/>
                                        <w:sz w:val="20"/>
                                        <w:u w:val="single"/>
                                      </w:rPr>
                                      <w:t>IRCRAFT</w:t>
                                    </w:r>
                                  </w:hyperlink>
                                  <w:hyperlink w:anchor="toc849638_78">
                                    <w:r>
                                      <w:rPr>
                                        <w:rStyle w:val="InternetLink"/>
                                      </w:rPr>
                                      <w:t xml:space="preserve"> L</w:t>
                                    </w:r>
                                  </w:hyperlink>
                                  <w:hyperlink w:anchor="toc849638_78">
                                    <w:r>
                                      <w:rPr>
                                        <w:rStyle w:val="InternetLink"/>
                                        <w:sz w:val="20"/>
                                        <w:u w:val="single"/>
                                      </w:rPr>
                                      <w:t>EASE</w:t>
                                    </w:r>
                                  </w:hyperlink>
                                  <w:hyperlink w:anchor="toc849638_78">
                                    <w:r>
                                      <w:rPr>
                                        <w:rStyle w:val="InternetLink"/>
                                      </w:rPr>
                                      <w:t xml:space="preserve"> </w:t>
                                    </w:r>
                                  </w:hyperlink>
                                  <w:hyperlink w:anchor="toc849638_78">
                                    <w:r>
                                      <w:rPr>
                                        <w:rStyle w:val="InternetLink"/>
                                        <w:sz w:val="20"/>
                                        <w:u w:val="single"/>
                                      </w:rPr>
                                      <w:t>AND</w:t>
                                    </w:r>
                                  </w:hyperlink>
                                  <w:hyperlink w:anchor="toc849638_78">
                                    <w:r>
                                      <w:rPr>
                                        <w:rStyle w:val="InternetLink"/>
                                      </w:rPr>
                                      <w:t xml:space="preserve"> O</w:t>
                                    </w:r>
                                  </w:hyperlink>
                                  <w:hyperlink w:anchor="toc849638_78">
                                    <w:r>
                                      <w:rPr>
                                        <w:rStyle w:val="InternetLink"/>
                                        <w:sz w:val="20"/>
                                        <w:u w:val="single"/>
                                      </w:rPr>
                                      <w:t>WNERSHIP</w:t>
                                    </w:r>
                                  </w:hyperlink>
                                  <w:hyperlink w:anchor="toc849638_78">
                                    <w:r>
                                      <w:rPr>
                                        <w:rStyle w:val="InternetLink"/>
                                      </w:rPr>
                                      <w:t xml:space="preserve"> A</w:t>
                                    </w:r>
                                  </w:hyperlink>
                                  <w:hyperlink w:anchor="toc849638_78">
                                    <w:r>
                                      <w:rPr>
                                        <w:rStyle w:val="InternetLink"/>
                                        <w:sz w:val="20"/>
                                        <w:u w:val="single"/>
                                      </w:rPr>
                                      <w:t>GREEMENT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9">
                                    <w:r>
                                      <w:rPr>
                                        <w:rStyle w:val="InternetLink"/>
                                      </w:rPr>
                                      <w:t>S</w:t>
                                    </w:r>
                                  </w:hyperlink>
                                  <w:hyperlink w:anchor="toc849638_79">
                                    <w:r>
                                      <w:rPr>
                                        <w:rStyle w:val="InternetLink"/>
                                        <w:sz w:val="20"/>
                                        <w:u w:val="single"/>
                                      </w:rPr>
                                      <w:t>HARE</w:t>
                                    </w:r>
                                  </w:hyperlink>
                                  <w:hyperlink w:anchor="toc849638_79">
                                    <w:r>
                                      <w:rPr>
                                        <w:rStyle w:val="InternetLink"/>
                                      </w:rPr>
                                      <w:t xml:space="preserve"> R</w:t>
                                    </w:r>
                                  </w:hyperlink>
                                  <w:hyperlink w:anchor="toc849638_79">
                                    <w:r>
                                      <w:rPr>
                                        <w:rStyle w:val="InternetLink"/>
                                        <w:sz w:val="20"/>
                                        <w:u w:val="single"/>
                                      </w:rPr>
                                      <w:t>EPURCHASES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0">
                                    <w:r>
                                      <w:rPr>
                                        <w:rStyle w:val="InternetLink"/>
                                      </w:rPr>
                                      <w:t>P</w:t>
                                    </w:r>
                                  </w:hyperlink>
                                  <w:hyperlink w:anchor="toc849638_80">
                                    <w:r>
                                      <w:rPr>
                                        <w:rStyle w:val="InternetLink"/>
                                        <w:sz w:val="20"/>
                                        <w:u w:val="single"/>
                                      </w:rPr>
                                      <w:t>OLICIES</w:t>
                                    </w:r>
                                  </w:hyperlink>
                                  <w:hyperlink w:anchor="toc849638_80">
                                    <w:r>
                                      <w:rPr>
                                        <w:rStyle w:val="InternetLink"/>
                                      </w:rPr>
                                      <w:t xml:space="preserve"> </w:t>
                                    </w:r>
                                  </w:hyperlink>
                                  <w:hyperlink w:anchor="toc849638_80">
                                    <w:r>
                                      <w:rPr>
                                        <w:rStyle w:val="InternetLink"/>
                                        <w:sz w:val="20"/>
                                        <w:u w:val="single"/>
                                      </w:rPr>
                                      <w:t>AND</w:t>
                                    </w:r>
                                  </w:hyperlink>
                                  <w:hyperlink w:anchor="toc849638_80">
                                    <w:r>
                                      <w:rPr>
                                        <w:rStyle w:val="InternetLink"/>
                                      </w:rPr>
                                      <w:t xml:space="preserve"> P</w:t>
                                    </w:r>
                                  </w:hyperlink>
                                  <w:hyperlink w:anchor="toc849638_80">
                                    <w:r>
                                      <w:rPr>
                                        <w:rStyle w:val="InternetLink"/>
                                        <w:sz w:val="20"/>
                                        <w:u w:val="single"/>
                                      </w:rPr>
                                      <w:t>ROCEDURES</w:t>
                                    </w:r>
                                  </w:hyperlink>
                                  <w:hyperlink w:anchor="toc849638_80">
                                    <w:r>
                                      <w:rPr>
                                        <w:rStyle w:val="InternetLink"/>
                                      </w:rPr>
                                      <w:t xml:space="preserve"> </w:t>
                                    </w:r>
                                  </w:hyperlink>
                                  <w:hyperlink w:anchor="toc849638_80">
                                    <w:r>
                                      <w:rPr>
                                        <w:rStyle w:val="InternetLink"/>
                                        <w:sz w:val="20"/>
                                        <w:u w:val="single"/>
                                      </w:rPr>
                                      <w:t>FOR</w:t>
                                    </w:r>
                                  </w:hyperlink>
                                  <w:hyperlink w:anchor="toc849638_80">
                                    <w:r>
                                      <w:rPr>
                                        <w:rStyle w:val="InternetLink"/>
                                      </w:rPr>
                                      <w:t xml:space="preserve"> R</w:t>
                                    </w:r>
                                  </w:hyperlink>
                                  <w:hyperlink w:anchor="toc849638_80">
                                    <w:r>
                                      <w:rPr>
                                        <w:rStyle w:val="InternetLink"/>
                                        <w:sz w:val="20"/>
                                        <w:u w:val="single"/>
                                      </w:rPr>
                                      <w:t>ELATED</w:t>
                                    </w:r>
                                  </w:hyperlink>
                                  <w:hyperlink w:anchor="toc849638_80">
                                    <w:r>
                                      <w:rPr>
                                        <w:rStyle w:val="InternetLink"/>
                                      </w:rPr>
                                      <w:t xml:space="preserve"> P</w:t>
                                    </w:r>
                                  </w:hyperlink>
                                  <w:hyperlink w:anchor="toc849638_80">
                                    <w:r>
                                      <w:rPr>
                                        <w:rStyle w:val="InternetLink"/>
                                        <w:sz w:val="20"/>
                                        <w:u w:val="single"/>
                                      </w:rPr>
                                      <w:t>ARTY</w:t>
                                    </w:r>
                                  </w:hyperlink>
                                  <w:hyperlink w:anchor="toc849638_80">
                                    <w:r>
                                      <w:rPr>
                                        <w:rStyle w:val="InternetLink"/>
                                      </w:rPr>
                                      <w:t xml:space="preserve"> T</w:t>
                                    </w:r>
                                  </w:hyperlink>
                                  <w:hyperlink w:anchor="toc849638_80">
                                    <w:r>
                                      <w:rPr>
                                        <w:rStyle w:val="InternetLink"/>
                                        <w:sz w:val="20"/>
                                        <w:u w:val="single"/>
                                      </w:rPr>
                                      <w: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1">
                                    <w:r>
                                      <w:rPr>
                                        <w:rStyle w:val="InternetLink"/>
                                        <w:b/>
                                        <w:color w:val="1070B8"/>
                                      </w:rPr>
                                      <w:t>STOCKHOLDER PROPOSALS FOR THE 2026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85</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82">
                                    <w:r>
                                      <w:rPr>
                                        <w:rStyle w:val="InternetLink"/>
                                      </w:rPr>
                                      <w:t>P</w:t>
                                    </w:r>
                                  </w:hyperlink>
                                  <w:hyperlink w:anchor="toc849638_82">
                                    <w:r>
                                      <w:rPr>
                                        <w:rStyle w:val="InternetLink"/>
                                        <w:sz w:val="20"/>
                                        <w:u w:val="single"/>
                                      </w:rPr>
                                      <w:t>ROPOSALS</w:t>
                                    </w:r>
                                  </w:hyperlink>
                                  <w:hyperlink w:anchor="toc849638_82">
                                    <w:r>
                                      <w:rPr>
                                        <w:rStyle w:val="InternetLink"/>
                                      </w:rPr>
                                      <w:t xml:space="preserve"> </w:t>
                                    </w:r>
                                  </w:hyperlink>
                                  <w:hyperlink w:anchor="toc849638_82">
                                    <w:r>
                                      <w:rPr>
                                        <w:rStyle w:val="InternetLink"/>
                                        <w:sz w:val="20"/>
                                        <w:u w:val="single"/>
                                      </w:rPr>
                                      <w:t>FOR</w:t>
                                    </w:r>
                                  </w:hyperlink>
                                  <w:hyperlink w:anchor="toc849638_82">
                                    <w:r>
                                      <w:rPr>
                                        <w:rStyle w:val="InternetLink"/>
                                      </w:rPr>
                                      <w:t xml:space="preserve"> I</w:t>
                                    </w:r>
                                  </w:hyperlink>
                                  <w:hyperlink w:anchor="toc849638_82">
                                    <w:r>
                                      <w:rPr>
                                        <w:rStyle w:val="InternetLink"/>
                                        <w:sz w:val="20"/>
                                        <w:u w:val="single"/>
                                      </w:rPr>
                                      <w:t>NCLUSION</w:t>
                                    </w:r>
                                  </w:hyperlink>
                                  <w:hyperlink w:anchor="toc849638_82">
                                    <w:r>
                                      <w:rPr>
                                        <w:rStyle w:val="InternetLink"/>
                                      </w:rPr>
                                      <w:t xml:space="preserve"> </w:t>
                                    </w:r>
                                  </w:hyperlink>
                                  <w:hyperlink w:anchor="toc849638_82">
                                    <w:r>
                                      <w:rPr>
                                        <w:rStyle w:val="InternetLink"/>
                                        <w:sz w:val="20"/>
                                        <w:u w:val="single"/>
                                      </w:rPr>
                                      <w:t>IN</w:t>
                                    </w:r>
                                  </w:hyperlink>
                                  <w:hyperlink w:anchor="toc849638_82">
                                    <w:r>
                                      <w:rPr>
                                        <w:rStyle w:val="InternetLink"/>
                                      </w:rPr>
                                      <w:t xml:space="preserve"> </w:t>
                                    </w:r>
                                  </w:hyperlink>
                                  <w:hyperlink w:anchor="toc849638_82">
                                    <w:r>
                                      <w:rPr>
                                        <w:rStyle w:val="InternetLink"/>
                                        <w:sz w:val="20"/>
                                        <w:u w:val="single"/>
                                      </w:rPr>
                                      <w:t>OUR</w:t>
                                    </w:r>
                                  </w:hyperlink>
                                  <w:hyperlink w:anchor="toc849638_82">
                                    <w:r>
                                      <w:rPr>
                                        <w:rStyle w:val="InternetLink"/>
                                      </w:rPr>
                                      <w:t xml:space="preserve"> 2026 P</w:t>
                                    </w:r>
                                  </w:hyperlink>
                                  <w:hyperlink w:anchor="toc849638_82">
                                    <w:r>
                                      <w:rPr>
                                        <w:rStyle w:val="InternetLink"/>
                                        <w:sz w:val="20"/>
                                        <w:u w:val="single"/>
                                      </w:rPr>
                                      <w:t>ROXY</w:t>
                                    </w:r>
                                  </w:hyperlink>
                                  <w:hyperlink w:anchor="toc849638_82">
                                    <w:r>
                                      <w:rPr>
                                        <w:rStyle w:val="InternetLink"/>
                                      </w:rPr>
                                      <w:t xml:space="preserve"> S</w:t>
                                    </w:r>
                                  </w:hyperlink>
                                  <w:hyperlink w:anchor="toc849638_82">
                                    <w:r>
                                      <w:rPr>
                                        <w:rStyle w:val="InternetLink"/>
                                        <w:sz w:val="20"/>
                                        <w:u w:val="single"/>
                                      </w:rPr>
                                      <w:t>TATEMENT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85</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3">
                                    <w:r>
                                      <w:rPr>
                                        <w:rStyle w:val="InternetLink"/>
                                      </w:rPr>
                                      <w:t>D</w:t>
                                    </w:r>
                                  </w:hyperlink>
                                  <w:hyperlink w:anchor="toc849638_83">
                                    <w:r>
                                      <w:rPr>
                                        <w:rStyle w:val="InternetLink"/>
                                        <w:sz w:val="20"/>
                                        <w:u w:val="single"/>
                                      </w:rPr>
                                      <w:t>IRECTOR</w:t>
                                    </w:r>
                                  </w:hyperlink>
                                  <w:hyperlink w:anchor="toc849638_83">
                                    <w:r>
                                      <w:rPr>
                                        <w:rStyle w:val="InternetLink"/>
                                      </w:rPr>
                                      <w:t xml:space="preserve"> N</w:t>
                                    </w:r>
                                  </w:hyperlink>
                                  <w:hyperlink w:anchor="toc849638_83">
                                    <w:r>
                                      <w:rPr>
                                        <w:rStyle w:val="InternetLink"/>
                                        <w:sz w:val="20"/>
                                        <w:u w:val="single"/>
                                      </w:rPr>
                                      <w:t>OMINEES</w:t>
                                    </w:r>
                                  </w:hyperlink>
                                  <w:hyperlink w:anchor="toc849638_83">
                                    <w:r>
                                      <w:rPr>
                                        <w:rStyle w:val="InternetLink"/>
                                      </w:rPr>
                                      <w:t xml:space="preserve"> </w:t>
                                    </w:r>
                                  </w:hyperlink>
                                  <w:hyperlink w:anchor="toc849638_83">
                                    <w:r>
                                      <w:rPr>
                                        <w:rStyle w:val="InternetLink"/>
                                        <w:sz w:val="20"/>
                                        <w:u w:val="single"/>
                                      </w:rPr>
                                      <w:t>FOR</w:t>
                                    </w:r>
                                  </w:hyperlink>
                                  <w:hyperlink w:anchor="toc849638_83">
                                    <w:r>
                                      <w:rPr>
                                        <w:rStyle w:val="InternetLink"/>
                                      </w:rPr>
                                      <w:t xml:space="preserve"> I</w:t>
                                    </w:r>
                                  </w:hyperlink>
                                  <w:hyperlink w:anchor="toc849638_83">
                                    <w:r>
                                      <w:rPr>
                                        <w:rStyle w:val="InternetLink"/>
                                        <w:sz w:val="20"/>
                                        <w:u w:val="single"/>
                                      </w:rPr>
                                      <w:t>NCLUSION</w:t>
                                    </w:r>
                                  </w:hyperlink>
                                  <w:hyperlink w:anchor="toc849638_83">
                                    <w:r>
                                      <w:rPr>
                                        <w:rStyle w:val="InternetLink"/>
                                      </w:rPr>
                                      <w:t xml:space="preserve"> </w:t>
                                    </w:r>
                                  </w:hyperlink>
                                  <w:hyperlink w:anchor="toc849638_83">
                                    <w:r>
                                      <w:rPr>
                                        <w:rStyle w:val="InternetLink"/>
                                        <w:sz w:val="20"/>
                                        <w:u w:val="single"/>
                                      </w:rPr>
                                      <w:t>IN</w:t>
                                    </w:r>
                                  </w:hyperlink>
                                  <w:hyperlink w:anchor="toc849638_83">
                                    <w:r>
                                      <w:rPr>
                                        <w:rStyle w:val="InternetLink"/>
                                      </w:rPr>
                                      <w:t xml:space="preserve"> </w:t>
                                    </w:r>
                                  </w:hyperlink>
                                  <w:hyperlink w:anchor="toc849638_83">
                                    <w:r>
                                      <w:rPr>
                                        <w:rStyle w:val="InternetLink"/>
                                        <w:sz w:val="20"/>
                                        <w:u w:val="single"/>
                                      </w:rPr>
                                      <w:t>OUR</w:t>
                                    </w:r>
                                  </w:hyperlink>
                                  <w:hyperlink w:anchor="toc849638_83">
                                    <w:r>
                                      <w:rPr>
                                        <w:rStyle w:val="InternetLink"/>
                                      </w:rPr>
                                      <w:t xml:space="preserve"> 2026 P</w:t>
                                    </w:r>
                                  </w:hyperlink>
                                  <w:hyperlink w:anchor="toc849638_83">
                                    <w:r>
                                      <w:rPr>
                                        <w:rStyle w:val="InternetLink"/>
                                        <w:sz w:val="20"/>
                                        <w:u w:val="single"/>
                                      </w:rPr>
                                      <w:t>ROXY</w:t>
                                    </w:r>
                                  </w:hyperlink>
                                  <w:hyperlink w:anchor="toc849638_83">
                                    <w:r>
                                      <w:rPr>
                                        <w:rStyle w:val="InternetLink"/>
                                      </w:rPr>
                                      <w:t xml:space="preserve"> S</w:t>
                                    </w:r>
                                  </w:hyperlink>
                                  <w:hyperlink w:anchor="toc849638_83">
                                    <w:r>
                                      <w:rPr>
                                        <w:rStyle w:val="InternetLink"/>
                                        <w:sz w:val="20"/>
                                        <w:u w:val="single"/>
                                      </w:rPr>
                                      <w:t>TATEMENT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85</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4">
                                    <w:r>
                                      <w:rPr>
                                        <w:rStyle w:val="InternetLink"/>
                                      </w:rPr>
                                      <w:t>O</w:t>
                                    </w:r>
                                  </w:hyperlink>
                                  <w:hyperlink w:anchor="toc849638_84">
                                    <w:r>
                                      <w:rPr>
                                        <w:rStyle w:val="InternetLink"/>
                                        <w:sz w:val="20"/>
                                        <w:u w:val="single"/>
                                      </w:rPr>
                                      <w:t>THER</w:t>
                                    </w:r>
                                  </w:hyperlink>
                                  <w:hyperlink w:anchor="toc849638_84">
                                    <w:r>
                                      <w:rPr>
                                        <w:rStyle w:val="InternetLink"/>
                                      </w:rPr>
                                      <w:t xml:space="preserve"> P</w:t>
                                    </w:r>
                                  </w:hyperlink>
                                  <w:hyperlink w:anchor="toc849638_84">
                                    <w:r>
                                      <w:rPr>
                                        <w:rStyle w:val="InternetLink"/>
                                        <w:sz w:val="20"/>
                                        <w:u w:val="single"/>
                                      </w:rPr>
                                      <w:t>ROPOSALS</w:t>
                                    </w:r>
                                  </w:hyperlink>
                                  <w:hyperlink w:anchor="toc849638_84">
                                    <w:r>
                                      <w:rPr>
                                        <w:rStyle w:val="InternetLink"/>
                                      </w:rPr>
                                      <w:t xml:space="preserve"> </w:t>
                                    </w:r>
                                  </w:hyperlink>
                                  <w:hyperlink w:anchor="toc849638_84">
                                    <w:r>
                                      <w:rPr>
                                        <w:rStyle w:val="InternetLink"/>
                                        <w:sz w:val="20"/>
                                        <w:u w:val="single"/>
                                      </w:rPr>
                                      <w:t>FOR</w:t>
                                    </w:r>
                                  </w:hyperlink>
                                  <w:hyperlink w:anchor="toc849638_84">
                                    <w:r>
                                      <w:rPr>
                                        <w:rStyle w:val="InternetLink"/>
                                      </w:rPr>
                                      <w:t xml:space="preserve"> </w:t>
                                    </w:r>
                                  </w:hyperlink>
                                  <w:hyperlink w:anchor="toc849638_84">
                                    <w:r>
                                      <w:rPr>
                                        <w:rStyle w:val="InternetLink"/>
                                        <w:sz w:val="20"/>
                                        <w:u w:val="single"/>
                                      </w:rPr>
                                      <w:t>THE</w:t>
                                    </w:r>
                                  </w:hyperlink>
                                  <w:hyperlink w:anchor="toc849638_84">
                                    <w:r>
                                      <w:rPr>
                                        <w:rStyle w:val="InternetLink"/>
                                      </w:rPr>
                                      <w:t xml:space="preserve"> 2026 A</w:t>
                                    </w:r>
                                  </w:hyperlink>
                                  <w:hyperlink w:anchor="toc849638_84">
                                    <w:r>
                                      <w:rPr>
                                        <w:rStyle w:val="InternetLink"/>
                                        <w:sz w:val="20"/>
                                        <w:u w:val="single"/>
                                      </w:rPr>
                                      <w:t>NNUAL</w:t>
                                    </w:r>
                                  </w:hyperlink>
                                  <w:hyperlink w:anchor="toc849638_84">
                                    <w:r>
                                      <w:rPr>
                                        <w:rStyle w:val="InternetLink"/>
                                      </w:rPr>
                                      <w:t xml:space="preserve"> M</w:t>
                                    </w:r>
                                  </w:hyperlink>
                                  <w:hyperlink w:anchor="toc849638_84">
                                    <w:r>
                                      <w:rPr>
                                        <w:rStyle w:val="InternetLink"/>
                                        <w:sz w:val="20"/>
                                        <w:u w:val="single"/>
                                      </w:rPr>
                                      <w:t>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85</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5">
                                    <w:r>
                                      <w:rPr>
                                        <w:rStyle w:val="InternetLink"/>
                                        <w:b/>
                                        <w:color w:val="1070B8"/>
                                      </w:rPr>
                                      <w:t>ADDITIONAL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86</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86">
                                    <w:r>
                                      <w:rPr>
                                        <w:rStyle w:val="InternetLink"/>
                                      </w:rPr>
                                      <w:t>H</w:t>
                                    </w:r>
                                  </w:hyperlink>
                                  <w:hyperlink w:anchor="toc849638_86">
                                    <w:r>
                                      <w:rPr>
                                        <w:rStyle w:val="InternetLink"/>
                                        <w:sz w:val="20"/>
                                        <w:u w:val="single"/>
                                      </w:rPr>
                                      <w:t>OUSEHOLDING</w:t>
                                    </w:r>
                                  </w:hyperlink>
                                  <w:hyperlink w:anchor="toc849638_86">
                                    <w:r>
                                      <w:rPr>
                                        <w:rStyle w:val="InternetLink"/>
                                      </w:rPr>
                                      <w:t xml:space="preserve"> </w:t>
                                    </w:r>
                                  </w:hyperlink>
                                  <w:hyperlink w:anchor="toc849638_86">
                                    <w:r>
                                      <w:rPr>
                                        <w:rStyle w:val="InternetLink"/>
                                        <w:sz w:val="20"/>
                                        <w:u w:val="single"/>
                                      </w:rPr>
                                      <w:t>OF</w:t>
                                    </w:r>
                                  </w:hyperlink>
                                  <w:hyperlink w:anchor="toc849638_86">
                                    <w:r>
                                      <w:rPr>
                                        <w:rStyle w:val="InternetLink"/>
                                      </w:rPr>
                                      <w:t xml:space="preserve"> P</w:t>
                                    </w:r>
                                  </w:hyperlink>
                                  <w:hyperlink w:anchor="toc849638_86">
                                    <w:r>
                                      <w:rPr>
                                        <w:rStyle w:val="InternetLink"/>
                                        <w:sz w:val="20"/>
                                        <w:u w:val="single"/>
                                      </w:rPr>
                                      <w:t>ROXY</w:t>
                                    </w:r>
                                  </w:hyperlink>
                                  <w:hyperlink w:anchor="toc849638_86">
                                    <w:r>
                                      <w:rPr>
                                        <w:rStyle w:val="InternetLink"/>
                                      </w:rPr>
                                      <w:t xml:space="preserve"> M</w:t>
                                    </w:r>
                                  </w:hyperlink>
                                  <w:hyperlink w:anchor="toc849638_86">
                                    <w:r>
                                      <w:rPr>
                                        <w:rStyle w:val="InternetLink"/>
                                        <w:sz w:val="20"/>
                                        <w:u w:val="single"/>
                                      </w:rPr>
                                      <w:t>ATERIALS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7">
                                    <w:r>
                                      <w:rPr>
                                        <w:rStyle w:val="InternetLink"/>
                                      </w:rPr>
                                      <w:t>S</w:t>
                                    </w:r>
                                  </w:hyperlink>
                                  <w:hyperlink w:anchor="toc849638_87">
                                    <w:r>
                                      <w:rPr>
                                        <w:rStyle w:val="InternetLink"/>
                                        <w:sz w:val="20"/>
                                        <w:u w:val="single"/>
                                      </w:rPr>
                                      <w:t>OLICITATION</w:t>
                                    </w:r>
                                  </w:hyperlink>
                                  <w:hyperlink w:anchor="toc849638_87">
                                    <w:r>
                                      <w:rPr>
                                        <w:rStyle w:val="InternetLink"/>
                                      </w:rPr>
                                      <w:t xml:space="preserve"> </w:t>
                                    </w:r>
                                  </w:hyperlink>
                                  <w:hyperlink w:anchor="toc849638_87">
                                    <w:r>
                                      <w:rPr>
                                        <w:rStyle w:val="InternetLink"/>
                                        <w:sz w:val="20"/>
                                        <w:u w:val="single"/>
                                      </w:rPr>
                                      <w:t>OF</w:t>
                                    </w:r>
                                  </w:hyperlink>
                                  <w:hyperlink w:anchor="toc849638_87">
                                    <w:r>
                                      <w:rPr>
                                        <w:rStyle w:val="InternetLink"/>
                                      </w:rPr>
                                      <w:t xml:space="preserve"> P</w:t>
                                    </w:r>
                                  </w:hyperlink>
                                  <w:hyperlink w:anchor="toc849638_87">
                                    <w:r>
                                      <w:rPr>
                                        <w:rStyle w:val="InternetLink"/>
                                        <w:sz w:val="20"/>
                                        <w:u w:val="single"/>
                                      </w:rPr>
                                      <w:t>ROXIES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8">
                                    <w:r>
                                      <w:rPr>
                                        <w:rStyle w:val="InternetLink"/>
                                      </w:rPr>
                                      <w:t>I</w:t>
                                    </w:r>
                                  </w:hyperlink>
                                  <w:hyperlink w:anchor="toc849638_88">
                                    <w:r>
                                      <w:rPr>
                                        <w:rStyle w:val="InternetLink"/>
                                        <w:sz w:val="20"/>
                                        <w:u w:val="single"/>
                                      </w:rPr>
                                      <w:t>NCORPORATION</w:t>
                                    </w:r>
                                  </w:hyperlink>
                                  <w:hyperlink w:anchor="toc849638_88">
                                    <w:r>
                                      <w:rPr>
                                        <w:rStyle w:val="InternetLink"/>
                                      </w:rPr>
                                      <w:t xml:space="preserve"> </w:t>
                                    </w:r>
                                  </w:hyperlink>
                                  <w:hyperlink w:anchor="toc849638_88">
                                    <w:r>
                                      <w:rPr>
                                        <w:rStyle w:val="InternetLink"/>
                                        <w:sz w:val="20"/>
                                        <w:u w:val="single"/>
                                      </w:rPr>
                                      <w:t>BY</w:t>
                                    </w:r>
                                  </w:hyperlink>
                                  <w:hyperlink w:anchor="toc849638_88">
                                    <w:r>
                                      <w:rPr>
                                        <w:rStyle w:val="InternetLink"/>
                                      </w:rPr>
                                      <w:t xml:space="preserve"> R</w:t>
                                    </w:r>
                                  </w:hyperlink>
                                  <w:hyperlink w:anchor="toc849638_88">
                                    <w:r>
                                      <w:rPr>
                                        <w:rStyle w:val="InternetLink"/>
                                        <w:sz w:val="20"/>
                                        <w:u w:val="single"/>
                                      </w:rPr>
                                      <w:t>EFERENCE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9">
                                    <w:r>
                                      <w:rPr>
                                        <w:rStyle w:val="InternetLink"/>
                                      </w:rPr>
                                      <w:t>F</w:t>
                                    </w:r>
                                  </w:hyperlink>
                                  <w:hyperlink w:anchor="toc849638_89">
                                    <w:r>
                                      <w:rPr>
                                        <w:rStyle w:val="InternetLink"/>
                                        <w:sz w:val="20"/>
                                        <w:u w:val="single"/>
                                      </w:rPr>
                                      <w:t>ORWARD</w:t>
                                    </w:r>
                                  </w:hyperlink>
                                  <w:hyperlink w:anchor="toc849638_89">
                                    <w:r>
                                      <w:rPr>
                                        <w:rStyle w:val="InternetLink"/>
                                      </w:rPr>
                                      <w:t xml:space="preserve"> L</w:t>
                                    </w:r>
                                  </w:hyperlink>
                                  <w:hyperlink w:anchor="toc849638_89">
                                    <w:r>
                                      <w:rPr>
                                        <w:rStyle w:val="InternetLink"/>
                                        <w:sz w:val="20"/>
                                        <w:u w:val="single"/>
                                      </w:rPr>
                                      <w:t>OOKING</w:t>
                                    </w:r>
                                  </w:hyperlink>
                                  <w:hyperlink w:anchor="toc849638_89">
                                    <w:r>
                                      <w:rPr>
                                        <w:rStyle w:val="InternetLink"/>
                                      </w:rPr>
                                      <w:t xml:space="preserve"> S</w:t>
                                    </w:r>
                                  </w:hyperlink>
                                  <w:hyperlink w:anchor="toc849638_89">
                                    <w:r>
                                      <w:rPr>
                                        <w:rStyle w:val="InternetLink"/>
                                        <w:sz w:val="20"/>
                                        <w:u w:val="single"/>
                                      </w:rPr>
                                      <w:t>TATEMENTS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0">
                                    <w:r>
                                      <w:rPr>
                                        <w:rStyle w:val="InternetLink"/>
                                      </w:rPr>
                                      <w:t>A</w:t>
                                    </w:r>
                                  </w:hyperlink>
                                  <w:hyperlink w:anchor="toc849638_90">
                                    <w:r>
                                      <w:rPr>
                                        <w:rStyle w:val="InternetLink"/>
                                        <w:sz w:val="20"/>
                                        <w:u w:val="single"/>
                                      </w:rPr>
                                      <w:t>VAILABILITY</w:t>
                                    </w:r>
                                  </w:hyperlink>
                                  <w:hyperlink w:anchor="toc849638_90">
                                    <w:r>
                                      <w:rPr>
                                        <w:rStyle w:val="InternetLink"/>
                                      </w:rPr>
                                      <w:t xml:space="preserve"> </w:t>
                                    </w:r>
                                  </w:hyperlink>
                                  <w:hyperlink w:anchor="toc849638_90">
                                    <w:r>
                                      <w:rPr>
                                        <w:rStyle w:val="InternetLink"/>
                                        <w:sz w:val="20"/>
                                        <w:u w:val="single"/>
                                      </w:rPr>
                                      <w:t>OF</w:t>
                                    </w:r>
                                  </w:hyperlink>
                                  <w:hyperlink w:anchor="toc849638_90">
                                    <w:r>
                                      <w:rPr>
                                        <w:rStyle w:val="InternetLink"/>
                                      </w:rPr>
                                      <w:t xml:space="preserve"> SEC F</w:t>
                                    </w:r>
                                  </w:hyperlink>
                                  <w:hyperlink w:anchor="toc849638_90">
                                    <w:r>
                                      <w:rPr>
                                        <w:rStyle w:val="InternetLink"/>
                                        <w:sz w:val="20"/>
                                        <w:u w:val="single"/>
                                      </w:rPr>
                                      <w:t>ILINGS</w:t>
                                    </w:r>
                                  </w:hyperlink>
                                  <w:hyperlink w:anchor="toc849638_90">
                                    <w:r>
                                      <w:rPr>
                                        <w:rStyle w:val="InternetLink"/>
                                      </w:rPr>
                                      <w:t xml:space="preserve"> </w:t>
                                    </w:r>
                                  </w:hyperlink>
                                  <w:hyperlink w:anchor="toc849638_90">
                                    <w:r>
                                      <w:rPr>
                                        <w:rStyle w:val="InternetLink"/>
                                        <w:sz w:val="20"/>
                                        <w:u w:val="single"/>
                                      </w:rPr>
                                      <w:t>AND</w:t>
                                    </w:r>
                                  </w:hyperlink>
                                  <w:hyperlink w:anchor="toc849638_90">
                                    <w:r>
                                      <w:rPr>
                                        <w:rStyle w:val="InternetLink"/>
                                      </w:rPr>
                                      <w:t xml:space="preserve"> C</w:t>
                                    </w:r>
                                  </w:hyperlink>
                                  <w:hyperlink w:anchor="toc849638_90">
                                    <w:r>
                                      <w:rPr>
                                        <w:rStyle w:val="InternetLink"/>
                                        <w:sz w:val="20"/>
                                        <w:u w:val="single"/>
                                      </w:rPr>
                                      <w:t>ORPORATE</w:t>
                                    </w:r>
                                  </w:hyperlink>
                                  <w:hyperlink w:anchor="toc849638_90">
                                    <w:r>
                                      <w:rPr>
                                        <w:rStyle w:val="InternetLink"/>
                                      </w:rPr>
                                      <w:t xml:space="preserve"> G</w:t>
                                    </w:r>
                                  </w:hyperlink>
                                  <w:hyperlink w:anchor="toc849638_90">
                                    <w:r>
                                      <w:rPr>
                                        <w:rStyle w:val="InternetLink"/>
                                        <w:sz w:val="20"/>
                                        <w:u w:val="single"/>
                                      </w:rPr>
                                      <w:t>OVERNANCE</w:t>
                                    </w:r>
                                  </w:hyperlink>
                                  <w:hyperlink w:anchor="toc849638_90">
                                    <w:r>
                                      <w:rPr>
                                        <w:rStyle w:val="InternetLink"/>
                                      </w:rPr>
                                      <w:t xml:space="preserve"> D</w:t>
                                    </w:r>
                                  </w:hyperlink>
                                  <w:hyperlink w:anchor="toc849638_90">
                                    <w:r>
                                      <w:rPr>
                                        <w:rStyle w:val="InternetLink"/>
                                        <w:sz w:val="20"/>
                                        <w:u w:val="single"/>
                                      </w:rPr>
                                      <w:t>OCUMENTS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87</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1">
                                    <w:r>
                                      <w:rPr>
                                        <w:rStyle w:val="InternetLink"/>
                                      </w:rPr>
                                      <w:t>U</w:t>
                                    </w:r>
                                  </w:hyperlink>
                                  <w:hyperlink w:anchor="toc849638_91">
                                    <w:r>
                                      <w:rPr>
                                        <w:rStyle w:val="InternetLink"/>
                                        <w:sz w:val="20"/>
                                        <w:u w:val="single"/>
                                      </w:rPr>
                                      <w:t>SE</w:t>
                                    </w:r>
                                  </w:hyperlink>
                                  <w:hyperlink w:anchor="toc849638_91">
                                    <w:r>
                                      <w:rPr>
                                        <w:rStyle w:val="InternetLink"/>
                                      </w:rPr>
                                      <w:t xml:space="preserve"> </w:t>
                                    </w:r>
                                  </w:hyperlink>
                                  <w:hyperlink w:anchor="toc849638_91">
                                    <w:r>
                                      <w:rPr>
                                        <w:rStyle w:val="InternetLink"/>
                                        <w:sz w:val="20"/>
                                        <w:u w:val="single"/>
                                      </w:rPr>
                                      <w:t>OF</w:t>
                                    </w:r>
                                  </w:hyperlink>
                                  <w:hyperlink w:anchor="toc849638_91">
                                    <w:r>
                                      <w:rPr>
                                        <w:rStyle w:val="InternetLink"/>
                                      </w:rPr>
                                      <w:t xml:space="preserve"> N</w:t>
                                    </w:r>
                                  </w:hyperlink>
                                  <w:hyperlink w:anchor="toc849638_91">
                                    <w:r>
                                      <w:rPr>
                                        <w:rStyle w:val="InternetLink"/>
                                        <w:sz w:val="20"/>
                                        <w:u w:val="single"/>
                                      </w:rPr>
                                      <w:t>ON</w:t>
                                    </w:r>
                                  </w:hyperlink>
                                  <w:hyperlink w:anchor="toc849638_91">
                                    <w:r>
                                      <w:rPr>
                                        <w:rStyle w:val="InternetLink"/>
                                      </w:rPr>
                                      <w:t>-GAAP F</w:t>
                                    </w:r>
                                  </w:hyperlink>
                                  <w:hyperlink w:anchor="toc849638_91">
                                    <w:r>
                                      <w:rPr>
                                        <w:rStyle w:val="InternetLink"/>
                                        <w:sz w:val="20"/>
                                        <w:u w:val="single"/>
                                      </w:rPr>
                                      <w:t>INANCIAL</w:t>
                                    </w:r>
                                  </w:hyperlink>
                                  <w:hyperlink w:anchor="toc849638_91">
                                    <w:r>
                                      <w:rPr>
                                        <w:rStyle w:val="InternetLink"/>
                                      </w:rPr>
                                      <w:t xml:space="preserve"> M</w:t>
                                    </w:r>
                                  </w:hyperlink>
                                  <w:hyperlink w:anchor="toc849638_91">
                                    <w:r>
                                      <w:rPr>
                                        <w:rStyle w:val="InternetLink"/>
                                        <w:sz w:val="20"/>
                                        <w:u w:val="single"/>
                                      </w:rPr>
                                      <w:t>EASURES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87</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2">
                                    <w:r>
                                      <w:rPr>
                                        <w:rStyle w:val="InternetLink"/>
                                        <w:b/>
                                        <w:color w:val="1070B8"/>
                                      </w:rPr>
                                      <w:t>MEETING AND VOTING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88</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93">
                                    <w:r>
                                      <w:rPr>
                                        <w:rStyle w:val="InternetLink"/>
                                      </w:rPr>
                                      <w:t>A</w:t>
                                    </w:r>
                                  </w:hyperlink>
                                  <w:hyperlink w:anchor="toc849638_93">
                                    <w:r>
                                      <w:rPr>
                                        <w:rStyle w:val="InternetLink"/>
                                        <w:sz w:val="20"/>
                                        <w:u w:val="single"/>
                                      </w:rPr>
                                      <w:t>TTENDING</w:t>
                                    </w:r>
                                  </w:hyperlink>
                                  <w:hyperlink w:anchor="toc849638_93">
                                    <w:r>
                                      <w:rPr>
                                        <w:rStyle w:val="InternetLink"/>
                                      </w:rPr>
                                      <w:t xml:space="preserve"> </w:t>
                                    </w:r>
                                  </w:hyperlink>
                                  <w:hyperlink w:anchor="toc849638_93">
                                    <w:r>
                                      <w:rPr>
                                        <w:rStyle w:val="InternetLink"/>
                                        <w:sz w:val="20"/>
                                        <w:u w:val="single"/>
                                      </w:rPr>
                                      <w:t>THE</w:t>
                                    </w:r>
                                  </w:hyperlink>
                                  <w:hyperlink w:anchor="toc849638_93">
                                    <w:r>
                                      <w:rPr>
                                        <w:rStyle w:val="InternetLink"/>
                                      </w:rPr>
                                      <w:t xml:space="preserve"> A</w:t>
                                    </w:r>
                                  </w:hyperlink>
                                  <w:hyperlink w:anchor="toc849638_93">
                                    <w:r>
                                      <w:rPr>
                                        <w:rStyle w:val="InternetLink"/>
                                        <w:sz w:val="20"/>
                                        <w:u w:val="single"/>
                                      </w:rPr>
                                      <w:t>NNUAL</w:t>
                                    </w:r>
                                  </w:hyperlink>
                                  <w:hyperlink w:anchor="toc849638_93">
                                    <w:r>
                                      <w:rPr>
                                        <w:rStyle w:val="InternetLink"/>
                                      </w:rPr>
                                      <w:t xml:space="preserve"> M</w:t>
                                    </w:r>
                                  </w:hyperlink>
                                  <w:hyperlink w:anchor="toc849638_93">
                                    <w:r>
                                      <w:rPr>
                                        <w:rStyle w:val="InternetLink"/>
                                        <w:sz w:val="20"/>
                                        <w:u w:val="single"/>
                                      </w:rPr>
                                      <w:t>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4">
                                    <w:r>
                                      <w:rPr>
                                        <w:rStyle w:val="InternetLink"/>
                                      </w:rPr>
                                      <w:t>W</w:t>
                                    </w:r>
                                  </w:hyperlink>
                                  <w:hyperlink w:anchor="toc849638_94">
                                    <w:r>
                                      <w:rPr>
                                        <w:rStyle w:val="InternetLink"/>
                                        <w:sz w:val="20"/>
                                        <w:u w:val="single"/>
                                      </w:rPr>
                                      <w:t>HO</w:t>
                                    </w:r>
                                  </w:hyperlink>
                                  <w:hyperlink w:anchor="toc849638_94">
                                    <w:r>
                                      <w:rPr>
                                        <w:rStyle w:val="InternetLink"/>
                                      </w:rPr>
                                      <w:t xml:space="preserve"> </w:t>
                                    </w:r>
                                  </w:hyperlink>
                                  <w:hyperlink w:anchor="toc849638_94">
                                    <w:r>
                                      <w:rPr>
                                        <w:rStyle w:val="InternetLink"/>
                                        <w:sz w:val="20"/>
                                        <w:u w:val="single"/>
                                      </w:rPr>
                                      <w:t>IS</w:t>
                                    </w:r>
                                  </w:hyperlink>
                                  <w:hyperlink w:anchor="toc849638_94">
                                    <w:r>
                                      <w:rPr>
                                        <w:rStyle w:val="InternetLink"/>
                                      </w:rPr>
                                      <w:t xml:space="preserve"> E</w:t>
                                    </w:r>
                                  </w:hyperlink>
                                  <w:hyperlink w:anchor="toc849638_94">
                                    <w:r>
                                      <w:rPr>
                                        <w:rStyle w:val="InternetLink"/>
                                        <w:sz w:val="20"/>
                                        <w:u w:val="single"/>
                                      </w:rPr>
                                      <w:t>NTITLED</w:t>
                                    </w:r>
                                  </w:hyperlink>
                                  <w:hyperlink w:anchor="toc849638_94">
                                    <w:r>
                                      <w:rPr>
                                        <w:rStyle w:val="InternetLink"/>
                                      </w:rPr>
                                      <w:t xml:space="preserve"> </w:t>
                                    </w:r>
                                  </w:hyperlink>
                                  <w:hyperlink w:anchor="toc849638_94">
                                    <w:r>
                                      <w:rPr>
                                        <w:rStyle w:val="InternetLink"/>
                                        <w:sz w:val="20"/>
                                        <w:u w:val="single"/>
                                      </w:rPr>
                                      <w:t>TO</w:t>
                                    </w:r>
                                  </w:hyperlink>
                                  <w:hyperlink w:anchor="toc849638_94">
                                    <w:r>
                                      <w:rPr>
                                        <w:rStyle w:val="InternetLink"/>
                                      </w:rPr>
                                      <w:t xml:space="preserve"> V</w:t>
                                    </w:r>
                                  </w:hyperlink>
                                  <w:hyperlink w:anchor="toc849638_94">
                                    <w:r>
                                      <w:rPr>
                                        <w:rStyle w:val="InternetLink"/>
                                        <w:sz w:val="20"/>
                                        <w:u w:val="single"/>
                                      </w:rPr>
                                      <w:t>OTE</w:t>
                                    </w:r>
                                  </w:hyperlink>
                                  <w:hyperlink w:anchor="toc849638_94">
                                    <w:r>
                                      <w:rPr>
                                        <w:rStyle w:val="InternetLink"/>
                                      </w:rPr>
                                      <w:t>; Q</w:t>
                                    </w:r>
                                  </w:hyperlink>
                                  <w:hyperlink w:anchor="toc849638_94">
                                    <w:r>
                                      <w:rPr>
                                        <w:rStyle w:val="InternetLink"/>
                                        <w:sz w:val="20"/>
                                        <w:u w:val="single"/>
                                      </w:rPr>
                                      <w:t>UORUM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5">
                                    <w:r>
                                      <w:rPr>
                                        <w:rStyle w:val="InternetLink"/>
                                      </w:rPr>
                                      <w:t>H</w:t>
                                    </w:r>
                                  </w:hyperlink>
                                  <w:hyperlink w:anchor="toc849638_95">
                                    <w:r>
                                      <w:rPr>
                                        <w:rStyle w:val="InternetLink"/>
                                        <w:sz w:val="20"/>
                                        <w:u w:val="single"/>
                                      </w:rPr>
                                      <w:t>OW</w:t>
                                    </w:r>
                                  </w:hyperlink>
                                  <w:hyperlink w:anchor="toc849638_95">
                                    <w:r>
                                      <w:rPr>
                                        <w:rStyle w:val="InternetLink"/>
                                      </w:rPr>
                                      <w:t xml:space="preserve"> </w:t>
                                    </w:r>
                                  </w:hyperlink>
                                  <w:hyperlink w:anchor="toc849638_95">
                                    <w:r>
                                      <w:rPr>
                                        <w:rStyle w:val="InternetLink"/>
                                        <w:sz w:val="20"/>
                                        <w:u w:val="single"/>
                                      </w:rPr>
                                      <w:t>TO</w:t>
                                    </w:r>
                                  </w:hyperlink>
                                  <w:hyperlink w:anchor="toc849638_95">
                                    <w:r>
                                      <w:rPr>
                                        <w:rStyle w:val="InternetLink"/>
                                      </w:rPr>
                                      <w:t xml:space="preserve"> V</w:t>
                                    </w:r>
                                  </w:hyperlink>
                                  <w:hyperlink w:anchor="toc849638_95">
                                    <w:r>
                                      <w:rPr>
                                        <w:rStyle w:val="InternetLink"/>
                                        <w:sz w:val="20"/>
                                        <w:u w:val="single"/>
                                      </w:rPr>
                                      <w:t>OTE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89</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6">
                                    <w:r>
                                      <w:rPr>
                                        <w:rStyle w:val="InternetLink"/>
                                      </w:rPr>
                                      <w:t>R</w:t>
                                    </w:r>
                                  </w:hyperlink>
                                  <w:hyperlink w:anchor="toc849638_96">
                                    <w:r>
                                      <w:rPr>
                                        <w:rStyle w:val="InternetLink"/>
                                        <w:sz w:val="20"/>
                                        <w:u w:val="single"/>
                                      </w:rPr>
                                      <w:t>EVOKING</w:t>
                                    </w:r>
                                  </w:hyperlink>
                                  <w:hyperlink w:anchor="toc849638_96">
                                    <w:r>
                                      <w:rPr>
                                        <w:rStyle w:val="InternetLink"/>
                                      </w:rPr>
                                      <w:t xml:space="preserve"> </w:t>
                                    </w:r>
                                  </w:hyperlink>
                                  <w:hyperlink w:anchor="toc849638_96">
                                    <w:r>
                                      <w:rPr>
                                        <w:rStyle w:val="InternetLink"/>
                                        <w:sz w:val="20"/>
                                        <w:u w:val="single"/>
                                      </w:rPr>
                                      <w:t>YOUR</w:t>
                                    </w:r>
                                  </w:hyperlink>
                                  <w:hyperlink w:anchor="toc849638_96">
                                    <w:r>
                                      <w:rPr>
                                        <w:rStyle w:val="InternetLink"/>
                                      </w:rPr>
                                      <w:t xml:space="preserve"> P</w:t>
                                    </w:r>
                                  </w:hyperlink>
                                  <w:hyperlink w:anchor="toc849638_96">
                                    <w:r>
                                      <w:rPr>
                                        <w:rStyle w:val="InternetLink"/>
                                        <w:sz w:val="20"/>
                                        <w:u w:val="single"/>
                                      </w:rPr>
                                      <w:t>ROXY</w:t>
                                    </w:r>
                                  </w:hyperlink>
                                  <w:hyperlink w:anchor="toc849638_96">
                                    <w:r>
                                      <w:rPr>
                                        <w:rStyle w:val="InternetLink"/>
                                      </w:rPr>
                                      <w:t xml:space="preserve"> </w:t>
                                    </w:r>
                                  </w:hyperlink>
                                  <w:hyperlink w:anchor="toc849638_96">
                                    <w:r>
                                      <w:rPr>
                                        <w:rStyle w:val="InternetLink"/>
                                        <w:sz w:val="20"/>
                                        <w:u w:val="single"/>
                                      </w:rPr>
                                      <w:t>OR</w:t>
                                    </w:r>
                                  </w:hyperlink>
                                  <w:hyperlink w:anchor="toc849638_96">
                                    <w:r>
                                      <w:rPr>
                                        <w:rStyle w:val="InternetLink"/>
                                      </w:rPr>
                                      <w:t xml:space="preserve"> C</w:t>
                                    </w:r>
                                  </w:hyperlink>
                                  <w:hyperlink w:anchor="toc849638_96">
                                    <w:r>
                                      <w:rPr>
                                        <w:rStyle w:val="InternetLink"/>
                                        <w:sz w:val="20"/>
                                        <w:u w:val="single"/>
                                      </w:rPr>
                                      <w:t>HANGING</w:t>
                                    </w:r>
                                  </w:hyperlink>
                                  <w:hyperlink w:anchor="toc849638_96">
                                    <w:r>
                                      <w:rPr>
                                        <w:rStyle w:val="InternetLink"/>
                                      </w:rPr>
                                      <w:t xml:space="preserve"> </w:t>
                                    </w:r>
                                  </w:hyperlink>
                                  <w:hyperlink w:anchor="toc849638_96">
                                    <w:r>
                                      <w:rPr>
                                        <w:rStyle w:val="InternetLink"/>
                                        <w:sz w:val="20"/>
                                        <w:u w:val="single"/>
                                      </w:rPr>
                                      <w:t>YOUR</w:t>
                                    </w:r>
                                  </w:hyperlink>
                                  <w:hyperlink w:anchor="toc849638_96">
                                    <w:r>
                                      <w:rPr>
                                        <w:rStyle w:val="InternetLink"/>
                                      </w:rPr>
                                      <w:t xml:space="preserve"> V</w:t>
                                    </w:r>
                                  </w:hyperlink>
                                  <w:hyperlink w:anchor="toc849638_96">
                                    <w:r>
                                      <w:rPr>
                                        <w:rStyle w:val="InternetLink"/>
                                        <w:sz w:val="20"/>
                                        <w:u w:val="single"/>
                                      </w:rPr>
                                      <w:t>OTE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7">
                                    <w:r>
                                      <w:rPr>
                                        <w:rStyle w:val="InternetLink"/>
                                      </w:rPr>
                                      <w:t>V</w:t>
                                    </w:r>
                                  </w:hyperlink>
                                  <w:hyperlink w:anchor="toc849638_97">
                                    <w:r>
                                      <w:rPr>
                                        <w:rStyle w:val="InternetLink"/>
                                        <w:sz w:val="20"/>
                                        <w:u w:val="single"/>
                                      </w:rPr>
                                      <w:t>OTES</w:t>
                                    </w:r>
                                  </w:hyperlink>
                                  <w:hyperlink w:anchor="toc849638_97">
                                    <w:r>
                                      <w:rPr>
                                        <w:rStyle w:val="InternetLink"/>
                                      </w:rPr>
                                      <w:t xml:space="preserve"> R</w:t>
                                    </w:r>
                                  </w:hyperlink>
                                  <w:hyperlink w:anchor="toc849638_97">
                                    <w:r>
                                      <w:rPr>
                                        <w:rStyle w:val="InternetLink"/>
                                        <w:sz w:val="20"/>
                                        <w:u w:val="single"/>
                                      </w:rPr>
                                      <w:t>EQUIRED</w:t>
                                    </w:r>
                                  </w:hyperlink>
                                  <w:hyperlink w:anchor="toc849638_97">
                                    <w:r>
                                      <w:rPr>
                                        <w:rStyle w:val="InternetLink"/>
                                      </w:rPr>
                                      <w:t xml:space="preserve"> </w:t>
                                    </w:r>
                                  </w:hyperlink>
                                  <w:hyperlink w:anchor="toc849638_97">
                                    <w:r>
                                      <w:rPr>
                                        <w:rStyle w:val="InternetLink"/>
                                        <w:sz w:val="20"/>
                                        <w:u w:val="single"/>
                                      </w:rPr>
                                      <w:t>TO</w:t>
                                    </w:r>
                                  </w:hyperlink>
                                  <w:hyperlink w:anchor="toc849638_97">
                                    <w:r>
                                      <w:rPr>
                                        <w:rStyle w:val="InternetLink"/>
                                      </w:rPr>
                                      <w:t xml:space="preserve"> A</w:t>
                                    </w:r>
                                  </w:hyperlink>
                                  <w:hyperlink w:anchor="toc849638_97">
                                    <w:r>
                                      <w:rPr>
                                        <w:rStyle w:val="InternetLink"/>
                                        <w:sz w:val="20"/>
                                        <w:u w:val="single"/>
                                      </w:rPr>
                                      <w:t>PPROVE</w:t>
                                    </w:r>
                                  </w:hyperlink>
                                  <w:hyperlink w:anchor="toc849638_97">
                                    <w:r>
                                      <w:rPr>
                                        <w:rStyle w:val="InternetLink"/>
                                      </w:rPr>
                                      <w:t xml:space="preserve"> </w:t>
                                    </w:r>
                                  </w:hyperlink>
                                  <w:hyperlink w:anchor="toc849638_97">
                                    <w:r>
                                      <w:rPr>
                                        <w:rStyle w:val="InternetLink"/>
                                        <w:sz w:val="20"/>
                                        <w:u w:val="single"/>
                                      </w:rPr>
                                      <w:t>EACH</w:t>
                                    </w:r>
                                  </w:hyperlink>
                                  <w:hyperlink w:anchor="toc849638_97">
                                    <w:r>
                                      <w:rPr>
                                        <w:rStyle w:val="InternetLink"/>
                                      </w:rPr>
                                      <w:t xml:space="preserve"> P</w:t>
                                    </w:r>
                                  </w:hyperlink>
                                  <w:hyperlink w:anchor="toc849638_97">
                                    <w:r>
                                      <w:rPr>
                                        <w:rStyle w:val="InternetLink"/>
                                        <w:sz w:val="20"/>
                                        <w:u w:val="single"/>
                                      </w:rPr>
                                      <w:t>ROPOSAL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8">
                                    <w:r>
                                      <w:rPr>
                                        <w:rStyle w:val="InternetLink"/>
                                      </w:rPr>
                                      <w:t>V</w:t>
                                    </w:r>
                                  </w:hyperlink>
                                  <w:hyperlink w:anchor="toc849638_98">
                                    <w:r>
                                      <w:rPr>
                                        <w:rStyle w:val="InternetLink"/>
                                        <w:sz w:val="20"/>
                                        <w:u w:val="single"/>
                                      </w:rPr>
                                      <w:t>OTING</w:t>
                                    </w:r>
                                  </w:hyperlink>
                                  <w:hyperlink w:anchor="toc849638_98">
                                    <w:r>
                                      <w:rPr>
                                        <w:rStyle w:val="InternetLink"/>
                                      </w:rPr>
                                      <w:t xml:space="preserve"> R</w:t>
                                    </w:r>
                                  </w:hyperlink>
                                  <w:hyperlink w:anchor="toc849638_98">
                                    <w:r>
                                      <w:rPr>
                                        <w:rStyle w:val="InternetLink"/>
                                        <w:sz w:val="20"/>
                                        <w:u w:val="single"/>
                                      </w:rPr>
                                      <w:t>ESULTS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9">
                                    <w:r>
                                      <w:rPr>
                                        <w:rStyle w:val="InternetLink"/>
                                        <w:b/>
                                        <w:color w:val="1070B8"/>
                                      </w:rPr>
                                      <w:t>OTHER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91</w:t>
                                  </w:r>
                                </w:p>
                              </w:tc>
                              <w:tc>
                                <w:tcPr>
                                  <w:tcW w:w="75" w:type="dxa"/>
                                  <w:tcBorders/>
                                  <w:vAlign w:val="center"/>
                                </w:tcPr>
                                <w:p>
                                  <w:pPr>
                                    <w:pStyle w:val="TableContents"/>
                                    <w:bidi w:val="0"/>
                                    <w:spacing w:before="0" w:after="283"/>
                                    <w:jc w:val="left"/>
                                    <w:rPr>
                                      <w:color w:val="1070B8"/>
                                    </w:rPr>
                                  </w:pPr>
                                  <w:r>
                                    <w:rPr>
                                      <w:color w:val="1070B8"/>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8320" w:type="dxa"/>
                        <w:jc w:val="left"/>
                        <w:tblInd w:w="0" w:type="dxa"/>
                        <w:tblLayout w:type="fixed"/>
                        <w:tblCellMar>
                          <w:top w:w="0" w:type="dxa"/>
                          <w:left w:w="0" w:type="dxa"/>
                          <w:bottom w:w="0" w:type="dxa"/>
                          <w:right w:w="0" w:type="dxa"/>
                        </w:tblCellMar>
                      </w:tblPr>
                      <w:tblGrid>
                        <w:gridCol w:w="7865"/>
                        <w:gridCol w:w="60"/>
                        <w:gridCol w:w="60"/>
                        <w:gridCol w:w="260"/>
                        <w:gridCol w:w="75"/>
                      </w:tblGrid>
                      <w:tr>
                        <w:trPr/>
                        <w:tc>
                          <w:tcPr>
                            <w:tcW w:w="7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865" w:type="dxa"/>
                            <w:tcBorders/>
                            <w:vAlign w:val="center"/>
                          </w:tcPr>
                          <w:p>
                            <w:pPr>
                              <w:pStyle w:val="TableContents"/>
                              <w:bidi w:val="0"/>
                              <w:spacing w:before="0" w:after="283"/>
                              <w:jc w:val="left"/>
                              <w:rPr/>
                            </w:pPr>
                            <w:hyperlink w:anchor="toc849638_56">
                              <w:r>
                                <w:rPr>
                                  <w:rStyle w:val="InternetLink"/>
                                  <w:b/>
                                  <w:color w:val="1070B8"/>
                                </w:rPr>
                                <w:t>EXECUTIVE OFFICERS AND CERTAIN SIGNIFICANT EMPLOYEES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47</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57">
                              <w:r>
                                <w:rPr>
                                  <w:rStyle w:val="InternetLink"/>
                                </w:rPr>
                                <w:t>E</w:t>
                              </w:r>
                            </w:hyperlink>
                            <w:hyperlink w:anchor="toc849638_57">
                              <w:r>
                                <w:rPr>
                                  <w:rStyle w:val="InternetLink"/>
                                  <w:sz w:val="20"/>
                                  <w:u w:val="single"/>
                                </w:rPr>
                                <w:t>XECUTIVE</w:t>
                              </w:r>
                            </w:hyperlink>
                            <w:hyperlink w:anchor="toc849638_57">
                              <w:r>
                                <w:rPr>
                                  <w:rStyle w:val="InternetLink"/>
                                </w:rPr>
                                <w:t xml:space="preserve"> O</w:t>
                              </w:r>
                            </w:hyperlink>
                            <w:hyperlink w:anchor="toc849638_57">
                              <w:r>
                                <w:rPr>
                                  <w:rStyle w:val="InternetLink"/>
                                  <w:sz w:val="20"/>
                                  <w:u w:val="single"/>
                                </w:rPr>
                                <w:t>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58">
                              <w:r>
                                <w:rPr>
                                  <w:rStyle w:val="InternetLink"/>
                                </w:rPr>
                                <w:t>C</w:t>
                              </w:r>
                            </w:hyperlink>
                            <w:hyperlink w:anchor="toc849638_58">
                              <w:r>
                                <w:rPr>
                                  <w:rStyle w:val="InternetLink"/>
                                  <w:sz w:val="20"/>
                                  <w:u w:val="single"/>
                                </w:rPr>
                                <w:t>ERTAIN</w:t>
                              </w:r>
                            </w:hyperlink>
                            <w:hyperlink w:anchor="toc849638_58">
                              <w:r>
                                <w:rPr>
                                  <w:rStyle w:val="InternetLink"/>
                                </w:rPr>
                                <w:t xml:space="preserve"> K</w:t>
                              </w:r>
                            </w:hyperlink>
                            <w:hyperlink w:anchor="toc849638_58">
                              <w:r>
                                <w:rPr>
                                  <w:rStyle w:val="InternetLink"/>
                                  <w:sz w:val="20"/>
                                  <w:u w:val="single"/>
                                </w:rPr>
                                <w:t>EY</w:t>
                              </w:r>
                            </w:hyperlink>
                            <w:hyperlink w:anchor="toc849638_58">
                              <w:r>
                                <w:rPr>
                                  <w:rStyle w:val="InternetLink"/>
                                </w:rPr>
                                <w:t xml:space="preserve"> E</w:t>
                              </w:r>
                            </w:hyperlink>
                            <w:hyperlink w:anchor="toc849638_58">
                              <w:r>
                                <w:rPr>
                                  <w:rStyle w:val="InternetLink"/>
                                  <w:sz w:val="20"/>
                                  <w:u w:val="single"/>
                                </w:rPr>
                                <w:t>MPLOYEES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59">
                              <w:r>
                                <w:rPr>
                                  <w:rStyle w:val="InternetLink"/>
                                  <w:b/>
                                  <w:color w:val="1070B8"/>
                                </w:rPr>
                                <w:t>COMPENSATION DISCUSSION AND ANALYSIS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50</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60">
                              <w:r>
                                <w:rPr>
                                  <w:rStyle w:val="InternetLink"/>
                                </w:rPr>
                                <w:t>CHC C</w:t>
                              </w:r>
                            </w:hyperlink>
                            <w:hyperlink w:anchor="toc849638_60">
                              <w:r>
                                <w:rPr>
                                  <w:rStyle w:val="InternetLink"/>
                                  <w:sz w:val="20"/>
                                  <w:u w:val="single"/>
                                </w:rPr>
                                <w:t>OMMITTEE</w:t>
                              </w:r>
                            </w:hyperlink>
                            <w:hyperlink w:anchor="toc849638_60">
                              <w:r>
                                <w:rPr>
                                  <w:rStyle w:val="InternetLink"/>
                                </w:rPr>
                                <w:t xml:space="preserve"> R</w:t>
                              </w:r>
                            </w:hyperlink>
                            <w:hyperlink w:anchor="toc849638_60">
                              <w:r>
                                <w:rPr>
                                  <w:rStyle w:val="InternetLink"/>
                                  <w:sz w:val="20"/>
                                  <w:u w:val="single"/>
                                </w:rPr>
                                <w:t>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1">
                              <w:r>
                                <w:rPr>
                                  <w:rStyle w:val="InternetLink"/>
                                </w:rPr>
                                <w:t>CD&amp;A T</w:t>
                              </w:r>
                            </w:hyperlink>
                            <w:hyperlink w:anchor="toc849638_61">
                              <w:r>
                                <w:rPr>
                                  <w:rStyle w:val="InternetLink"/>
                                  <w:sz w:val="20"/>
                                  <w:u w:val="single"/>
                                </w:rPr>
                                <w:t>ABLE</w:t>
                              </w:r>
                            </w:hyperlink>
                            <w:hyperlink w:anchor="toc849638_61">
                              <w:r>
                                <w:rPr>
                                  <w:rStyle w:val="InternetLink"/>
                                </w:rPr>
                                <w:t xml:space="preserve"> </w:t>
                              </w:r>
                            </w:hyperlink>
                            <w:hyperlink w:anchor="toc849638_61">
                              <w:r>
                                <w:rPr>
                                  <w:rStyle w:val="InternetLink"/>
                                  <w:sz w:val="20"/>
                                  <w:u w:val="single"/>
                                </w:rPr>
                                <w:t>OF</w:t>
                              </w:r>
                            </w:hyperlink>
                            <w:hyperlink w:anchor="toc849638_61">
                              <w:r>
                                <w:rPr>
                                  <w:rStyle w:val="InternetLink"/>
                                </w:rPr>
                                <w:t xml:space="preserve"> C</w:t>
                              </w:r>
                            </w:hyperlink>
                            <w:hyperlink w:anchor="toc849638_61">
                              <w:r>
                                <w:rPr>
                                  <w:rStyle w:val="InternetLink"/>
                                  <w:sz w:val="20"/>
                                  <w:u w:val="single"/>
                                </w:rPr>
                                <w:t>ONTENTS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1a">
                              <w:r>
                                <w:rPr>
                                  <w:rStyle w:val="InternetLink"/>
                                </w:rPr>
                                <w:t>S</w:t>
                              </w:r>
                            </w:hyperlink>
                            <w:hyperlink w:anchor="toc849638_61a">
                              <w:r>
                                <w:rPr>
                                  <w:rStyle w:val="InternetLink"/>
                                  <w:sz w:val="20"/>
                                  <w:u w:val="single"/>
                                </w:rPr>
                                <w:t>ECTION</w:t>
                              </w:r>
                            </w:hyperlink>
                            <w:hyperlink w:anchor="toc849638_61a">
                              <w:r>
                                <w:rPr>
                                  <w:rStyle w:val="InternetLink"/>
                                </w:rPr>
                                <w:t> 1 – E</w:t>
                              </w:r>
                            </w:hyperlink>
                            <w:hyperlink w:anchor="toc849638_61a">
                              <w:r>
                                <w:rPr>
                                  <w:rStyle w:val="InternetLink"/>
                                  <w:sz w:val="20"/>
                                  <w:u w:val="single"/>
                                </w:rPr>
                                <w:t>XECUTIVE</w:t>
                              </w:r>
                            </w:hyperlink>
                            <w:hyperlink w:anchor="toc849638_61a">
                              <w:r>
                                <w:rPr>
                                  <w:rStyle w:val="InternetLink"/>
                                </w:rPr>
                                <w:t xml:space="preserve"> S</w:t>
                              </w:r>
                            </w:hyperlink>
                            <w:hyperlink w:anchor="toc849638_61a">
                              <w:r>
                                <w:rPr>
                                  <w:rStyle w:val="InternetLink"/>
                                  <w:sz w:val="20"/>
                                  <w:u w:val="single"/>
                                </w:rPr>
                                <w:t>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1b">
                              <w:r>
                                <w:rPr>
                                  <w:rStyle w:val="InternetLink"/>
                                </w:rPr>
                                <w:t>S</w:t>
                              </w:r>
                            </w:hyperlink>
                            <w:hyperlink w:anchor="toc849638_61b">
                              <w:r>
                                <w:rPr>
                                  <w:rStyle w:val="InternetLink"/>
                                  <w:sz w:val="20"/>
                                  <w:u w:val="single"/>
                                </w:rPr>
                                <w:t>ECTION</w:t>
                              </w:r>
                            </w:hyperlink>
                            <w:hyperlink w:anchor="toc849638_61b">
                              <w:r>
                                <w:rPr>
                                  <w:rStyle w:val="InternetLink"/>
                                </w:rPr>
                                <w:t> 2 – H</w:t>
                              </w:r>
                            </w:hyperlink>
                            <w:hyperlink w:anchor="toc849638_61b">
                              <w:r>
                                <w:rPr>
                                  <w:rStyle w:val="InternetLink"/>
                                  <w:sz w:val="20"/>
                                  <w:u w:val="single"/>
                                </w:rPr>
                                <w:t>OW</w:t>
                              </w:r>
                            </w:hyperlink>
                            <w:hyperlink w:anchor="toc849638_61b">
                              <w:r>
                                <w:rPr>
                                  <w:rStyle w:val="InternetLink"/>
                                </w:rPr>
                                <w:t xml:space="preserve"> W</w:t>
                              </w:r>
                            </w:hyperlink>
                            <w:hyperlink w:anchor="toc849638_61b">
                              <w:r>
                                <w:rPr>
                                  <w:rStyle w:val="InternetLink"/>
                                  <w:sz w:val="20"/>
                                  <w:u w:val="single"/>
                                </w:rPr>
                                <w:t>E</w:t>
                              </w:r>
                            </w:hyperlink>
                            <w:hyperlink w:anchor="toc849638_61b">
                              <w:r>
                                <w:rPr>
                                  <w:rStyle w:val="InternetLink"/>
                                </w:rPr>
                                <w:t xml:space="preserve"> D</w:t>
                              </w:r>
                            </w:hyperlink>
                            <w:hyperlink w:anchor="toc849638_61b">
                              <w:r>
                                <w:rPr>
                                  <w:rStyle w:val="InternetLink"/>
                                  <w:sz w:val="20"/>
                                  <w:u w:val="single"/>
                                </w:rPr>
                                <w:t>ETERMINE</w:t>
                              </w:r>
                            </w:hyperlink>
                            <w:hyperlink w:anchor="toc849638_61b">
                              <w:r>
                                <w:rPr>
                                  <w:rStyle w:val="InternetLink"/>
                                </w:rPr>
                                <w:t xml:space="preserve"> P</w:t>
                              </w:r>
                            </w:hyperlink>
                            <w:hyperlink w:anchor="toc849638_61b">
                              <w:r>
                                <w:rPr>
                                  <w:rStyle w:val="InternetLink"/>
                                  <w:sz w:val="20"/>
                                  <w:u w:val="single"/>
                                </w:rPr>
                                <w:t>AY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1c">
                              <w:r>
                                <w:rPr>
                                  <w:rStyle w:val="InternetLink"/>
                                </w:rPr>
                                <w:t>S</w:t>
                              </w:r>
                            </w:hyperlink>
                            <w:hyperlink w:anchor="toc849638_61c">
                              <w:r>
                                <w:rPr>
                                  <w:rStyle w:val="InternetLink"/>
                                  <w:sz w:val="20"/>
                                  <w:u w:val="single"/>
                                </w:rPr>
                                <w:t>ECTION</w:t>
                              </w:r>
                            </w:hyperlink>
                            <w:hyperlink w:anchor="toc849638_61c">
                              <w:r>
                                <w:rPr>
                                  <w:rStyle w:val="InternetLink"/>
                                </w:rPr>
                                <w:t> 3 – E</w:t>
                              </w:r>
                            </w:hyperlink>
                            <w:hyperlink w:anchor="toc849638_61c">
                              <w:r>
                                <w:rPr>
                                  <w:rStyle w:val="InternetLink"/>
                                  <w:sz w:val="20"/>
                                  <w:u w:val="single"/>
                                </w:rPr>
                                <w:t>LEMENTS</w:t>
                              </w:r>
                            </w:hyperlink>
                            <w:hyperlink w:anchor="toc849638_61c">
                              <w:r>
                                <w:rPr>
                                  <w:rStyle w:val="InternetLink"/>
                                </w:rPr>
                                <w:t xml:space="preserve"> </w:t>
                              </w:r>
                            </w:hyperlink>
                            <w:hyperlink w:anchor="toc849638_61c">
                              <w:r>
                                <w:rPr>
                                  <w:rStyle w:val="InternetLink"/>
                                  <w:sz w:val="20"/>
                                  <w:u w:val="single"/>
                                </w:rPr>
                                <w:t>OF</w:t>
                              </w:r>
                            </w:hyperlink>
                            <w:hyperlink w:anchor="toc849638_61c">
                              <w:r>
                                <w:rPr>
                                  <w:rStyle w:val="InternetLink"/>
                                </w:rPr>
                                <w:t xml:space="preserve"> </w:t>
                              </w:r>
                            </w:hyperlink>
                            <w:hyperlink w:anchor="toc849638_61c">
                              <w:r>
                                <w:rPr>
                                  <w:rStyle w:val="InternetLink"/>
                                  <w:sz w:val="20"/>
                                  <w:u w:val="single"/>
                                </w:rPr>
                                <w:t>OUR</w:t>
                              </w:r>
                            </w:hyperlink>
                            <w:hyperlink w:anchor="toc849638_61c">
                              <w:r>
                                <w:rPr>
                                  <w:rStyle w:val="InternetLink"/>
                                </w:rPr>
                                <w:t xml:space="preserve"> C</w:t>
                              </w:r>
                            </w:hyperlink>
                            <w:hyperlink w:anchor="toc849638_61c">
                              <w:r>
                                <w:rPr>
                                  <w:rStyle w:val="InternetLink"/>
                                  <w:sz w:val="20"/>
                                  <w:u w:val="single"/>
                                </w:rPr>
                                <w:t>OMPENSATION</w:t>
                              </w:r>
                            </w:hyperlink>
                            <w:hyperlink w:anchor="toc849638_61c">
                              <w:r>
                                <w:rPr>
                                  <w:rStyle w:val="InternetLink"/>
                                </w:rPr>
                                <w:t xml:space="preserve"> P</w:t>
                              </w:r>
                            </w:hyperlink>
                            <w:hyperlink w:anchor="toc849638_61c">
                              <w:r>
                                <w:rPr>
                                  <w:rStyle w:val="InternetLink"/>
                                  <w:sz w:val="20"/>
                                  <w:u w:val="single"/>
                                </w:rPr>
                                <w:t>ROGRAM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59</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1d">
                              <w:r>
                                <w:rPr>
                                  <w:rStyle w:val="InternetLink"/>
                                </w:rPr>
                                <w:t>S</w:t>
                              </w:r>
                            </w:hyperlink>
                            <w:hyperlink w:anchor="toc849638_61d">
                              <w:r>
                                <w:rPr>
                                  <w:rStyle w:val="InternetLink"/>
                                  <w:sz w:val="20"/>
                                  <w:u w:val="single"/>
                                </w:rPr>
                                <w:t>ECTION</w:t>
                              </w:r>
                            </w:hyperlink>
                            <w:hyperlink w:anchor="toc849638_61d">
                              <w:r>
                                <w:rPr>
                                  <w:rStyle w:val="InternetLink"/>
                                </w:rPr>
                                <w:t> 4 – W</w:t>
                              </w:r>
                            </w:hyperlink>
                            <w:hyperlink w:anchor="toc849638_61d">
                              <w:r>
                                <w:rPr>
                                  <w:rStyle w:val="InternetLink"/>
                                  <w:sz w:val="20"/>
                                  <w:u w:val="single"/>
                                </w:rPr>
                                <w:t>HAT</w:t>
                              </w:r>
                            </w:hyperlink>
                            <w:hyperlink w:anchor="toc849638_61d">
                              <w:r>
                                <w:rPr>
                                  <w:rStyle w:val="InternetLink"/>
                                </w:rPr>
                                <w:t xml:space="preserve"> W</w:t>
                              </w:r>
                            </w:hyperlink>
                            <w:hyperlink w:anchor="toc849638_61d">
                              <w:r>
                                <w:rPr>
                                  <w:rStyle w:val="InternetLink"/>
                                  <w:sz w:val="20"/>
                                  <w:u w:val="single"/>
                                </w:rPr>
                                <w:t>E</w:t>
                              </w:r>
                            </w:hyperlink>
                            <w:hyperlink w:anchor="toc849638_61d">
                              <w:r>
                                <w:rPr>
                                  <w:rStyle w:val="InternetLink"/>
                                </w:rPr>
                                <w:t xml:space="preserve"> P</w:t>
                              </w:r>
                            </w:hyperlink>
                            <w:hyperlink w:anchor="toc849638_61d">
                              <w:r>
                                <w:rPr>
                                  <w:rStyle w:val="InternetLink"/>
                                  <w:sz w:val="20"/>
                                  <w:u w:val="single"/>
                                </w:rPr>
                                <w:t>AID</w:t>
                              </w:r>
                            </w:hyperlink>
                            <w:hyperlink w:anchor="toc849638_61d">
                              <w:r>
                                <w:rPr>
                                  <w:rStyle w:val="InternetLink"/>
                                </w:rPr>
                                <w:t xml:space="preserve"> </w:t>
                              </w:r>
                            </w:hyperlink>
                            <w:hyperlink w:anchor="toc849638_61d">
                              <w:r>
                                <w:rPr>
                                  <w:rStyle w:val="InternetLink"/>
                                  <w:sz w:val="20"/>
                                  <w:u w:val="single"/>
                                </w:rPr>
                                <w:t>IN</w:t>
                              </w:r>
                            </w:hyperlink>
                            <w:hyperlink w:anchor="toc849638_61d">
                              <w:r>
                                <w:rPr>
                                  <w:rStyle w:val="InternetLink"/>
                                </w:rPr>
                                <w:t xml:space="preserve"> 2024</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1e">
                              <w:r>
                                <w:rPr>
                                  <w:rStyle w:val="InternetLink"/>
                                </w:rPr>
                                <w:t>S</w:t>
                              </w:r>
                            </w:hyperlink>
                            <w:hyperlink w:anchor="toc849638_61e">
                              <w:r>
                                <w:rPr>
                                  <w:rStyle w:val="InternetLink"/>
                                  <w:sz w:val="20"/>
                                  <w:u w:val="single"/>
                                </w:rPr>
                                <w:t>ECTION</w:t>
                              </w:r>
                            </w:hyperlink>
                            <w:hyperlink w:anchor="toc849638_61e">
                              <w:r>
                                <w:rPr>
                                  <w:rStyle w:val="InternetLink"/>
                                </w:rPr>
                                <w:t> 5 – O</w:t>
                              </w:r>
                            </w:hyperlink>
                            <w:hyperlink w:anchor="toc849638_61e">
                              <w:r>
                                <w:rPr>
                                  <w:rStyle w:val="InternetLink"/>
                                  <w:sz w:val="20"/>
                                  <w:u w:val="single"/>
                                </w:rPr>
                                <w:t>THER</w:t>
                              </w:r>
                            </w:hyperlink>
                            <w:hyperlink w:anchor="toc849638_61e">
                              <w:r>
                                <w:rPr>
                                  <w:rStyle w:val="InternetLink"/>
                                </w:rPr>
                                <w:t xml:space="preserve"> C</w:t>
                              </w:r>
                            </w:hyperlink>
                            <w:hyperlink w:anchor="toc849638_61e">
                              <w:r>
                                <w:rPr>
                                  <w:rStyle w:val="InternetLink"/>
                                  <w:sz w:val="20"/>
                                  <w:u w:val="single"/>
                                </w:rPr>
                                <w:t>OMPENSATION</w:t>
                              </w:r>
                            </w:hyperlink>
                            <w:hyperlink w:anchor="toc849638_61e">
                              <w:r>
                                <w:rPr>
                                  <w:rStyle w:val="InternetLink"/>
                                </w:rPr>
                                <w:t xml:space="preserve"> </w:t>
                              </w:r>
                            </w:hyperlink>
                            <w:hyperlink w:anchor="toc849638_61e">
                              <w:r>
                                <w:rPr>
                                  <w:rStyle w:val="InternetLink"/>
                                  <w:sz w:val="20"/>
                                  <w:u w:val="single"/>
                                </w:rPr>
                                <w:t>AND</w:t>
                              </w:r>
                            </w:hyperlink>
                            <w:hyperlink w:anchor="toc849638_61e">
                              <w:r>
                                <w:rPr>
                                  <w:rStyle w:val="InternetLink"/>
                                </w:rPr>
                                <w:t xml:space="preserve"> P</w:t>
                              </w:r>
                            </w:hyperlink>
                            <w:hyperlink w:anchor="toc849638_61e">
                              <w:r>
                                <w:rPr>
                                  <w:rStyle w:val="InternetLink"/>
                                  <w:sz w:val="20"/>
                                  <w:u w:val="single"/>
                                </w:rPr>
                                <w:t>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2">
                              <w:r>
                                <w:rPr>
                                  <w:rStyle w:val="InternetLink"/>
                                  <w:b/>
                                  <w:color w:val="1070B8"/>
                                </w:rPr>
                                <w:t>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68</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63">
                              <w:r>
                                <w:rPr>
                                  <w:rStyle w:val="InternetLink"/>
                                </w:rPr>
                                <w:t>S</w:t>
                              </w:r>
                            </w:hyperlink>
                            <w:hyperlink w:anchor="toc849638_63">
                              <w:r>
                                <w:rPr>
                                  <w:rStyle w:val="InternetLink"/>
                                  <w:sz w:val="20"/>
                                  <w:u w:val="single"/>
                                </w:rPr>
                                <w:t>UMMARY</w:t>
                              </w:r>
                            </w:hyperlink>
                            <w:hyperlink w:anchor="toc849638_63">
                              <w:r>
                                <w:rPr>
                                  <w:rStyle w:val="InternetLink"/>
                                </w:rPr>
                                <w:t xml:space="preserve"> C</w:t>
                              </w:r>
                            </w:hyperlink>
                            <w:hyperlink w:anchor="toc849638_63">
                              <w:r>
                                <w:rPr>
                                  <w:rStyle w:val="InternetLink"/>
                                  <w:sz w:val="20"/>
                                  <w:u w:val="single"/>
                                </w:rPr>
                                <w:t>OMPENSATION</w:t>
                              </w:r>
                            </w:hyperlink>
                            <w:hyperlink w:anchor="toc849638_63">
                              <w:r>
                                <w:rPr>
                                  <w:rStyle w:val="InternetLink"/>
                                </w:rPr>
                                <w:t xml:space="preserve"> T</w:t>
                              </w:r>
                            </w:hyperlink>
                            <w:hyperlink w:anchor="toc849638_63">
                              <w:r>
                                <w:rPr>
                                  <w:rStyle w:val="InternetLink"/>
                                  <w:sz w:val="20"/>
                                  <w:u w:val="single"/>
                                </w:rPr>
                                <w: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4">
                              <w:r>
                                <w:rPr>
                                  <w:rStyle w:val="InternetLink"/>
                                </w:rPr>
                                <w:t>G</w:t>
                              </w:r>
                            </w:hyperlink>
                            <w:hyperlink w:anchor="toc849638_64">
                              <w:r>
                                <w:rPr>
                                  <w:rStyle w:val="InternetLink"/>
                                  <w:sz w:val="20"/>
                                  <w:u w:val="single"/>
                                </w:rPr>
                                <w:t>RANTS</w:t>
                              </w:r>
                            </w:hyperlink>
                            <w:hyperlink w:anchor="toc849638_64">
                              <w:r>
                                <w:rPr>
                                  <w:rStyle w:val="InternetLink"/>
                                </w:rPr>
                                <w:t xml:space="preserve"> </w:t>
                              </w:r>
                            </w:hyperlink>
                            <w:hyperlink w:anchor="toc849638_64">
                              <w:r>
                                <w:rPr>
                                  <w:rStyle w:val="InternetLink"/>
                                  <w:sz w:val="20"/>
                                  <w:u w:val="single"/>
                                </w:rPr>
                                <w:t>OF</w:t>
                              </w:r>
                            </w:hyperlink>
                            <w:hyperlink w:anchor="toc849638_64">
                              <w:r>
                                <w:rPr>
                                  <w:rStyle w:val="InternetLink"/>
                                </w:rPr>
                                <w:t xml:space="preserve"> P</w:t>
                              </w:r>
                            </w:hyperlink>
                            <w:hyperlink w:anchor="toc849638_64">
                              <w:r>
                                <w:rPr>
                                  <w:rStyle w:val="InternetLink"/>
                                  <w:sz w:val="20"/>
                                  <w:u w:val="single"/>
                                </w:rPr>
                                <w:t>LAN</w:t>
                              </w:r>
                            </w:hyperlink>
                            <w:hyperlink w:anchor="toc849638_64">
                              <w:r>
                                <w:rPr>
                                  <w:rStyle w:val="InternetLink"/>
                                </w:rPr>
                                <w:t>-B</w:t>
                              </w:r>
                            </w:hyperlink>
                            <w:hyperlink w:anchor="toc849638_64">
                              <w:r>
                                <w:rPr>
                                  <w:rStyle w:val="InternetLink"/>
                                  <w:sz w:val="20"/>
                                  <w:u w:val="single"/>
                                </w:rPr>
                                <w:t>ASED</w:t>
                              </w:r>
                            </w:hyperlink>
                            <w:hyperlink w:anchor="toc849638_64">
                              <w:r>
                                <w:rPr>
                                  <w:rStyle w:val="InternetLink"/>
                                </w:rPr>
                                <w:t xml:space="preserve"> A</w:t>
                              </w:r>
                            </w:hyperlink>
                            <w:hyperlink w:anchor="toc849638_64">
                              <w:r>
                                <w:rPr>
                                  <w:rStyle w:val="InternetLink"/>
                                  <w:sz w:val="20"/>
                                  <w:u w:val="single"/>
                                </w:rPr>
                                <w:t>WARDS</w:t>
                              </w:r>
                            </w:hyperlink>
                            <w:hyperlink w:anchor="toc849638_64">
                              <w:r>
                                <w:rPr>
                                  <w:rStyle w:val="InternetLink"/>
                                </w:rPr>
                                <w:t xml:space="preserve"> </w:t>
                              </w:r>
                            </w:hyperlink>
                            <w:hyperlink w:anchor="toc849638_64">
                              <w:r>
                                <w:rPr>
                                  <w:rStyle w:val="InternetLink"/>
                                  <w:sz w:val="20"/>
                                  <w:u w:val="single"/>
                                </w:rPr>
                                <w:t>FOR</w:t>
                              </w:r>
                            </w:hyperlink>
                            <w:hyperlink w:anchor="toc849638_64">
                              <w:r>
                                <w:rPr>
                                  <w:rStyle w:val="InternetLink"/>
                                </w:rPr>
                                <w:t xml:space="preserve"> 2024</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5">
                              <w:r>
                                <w:rPr>
                                  <w:rStyle w:val="InternetLink"/>
                                </w:rPr>
                                <w:t>O</w:t>
                              </w:r>
                            </w:hyperlink>
                            <w:hyperlink w:anchor="toc849638_65">
                              <w:r>
                                <w:rPr>
                                  <w:rStyle w:val="InternetLink"/>
                                  <w:sz w:val="20"/>
                                  <w:u w:val="single"/>
                                </w:rPr>
                                <w:t>UTSTANDING</w:t>
                              </w:r>
                            </w:hyperlink>
                            <w:hyperlink w:anchor="toc849638_65">
                              <w:r>
                                <w:rPr>
                                  <w:rStyle w:val="InternetLink"/>
                                </w:rPr>
                                <w:t xml:space="preserve"> E</w:t>
                              </w:r>
                            </w:hyperlink>
                            <w:hyperlink w:anchor="toc849638_65">
                              <w:r>
                                <w:rPr>
                                  <w:rStyle w:val="InternetLink"/>
                                  <w:sz w:val="20"/>
                                  <w:u w:val="single"/>
                                </w:rPr>
                                <w:t>QUITY</w:t>
                              </w:r>
                            </w:hyperlink>
                            <w:hyperlink w:anchor="toc849638_65">
                              <w:r>
                                <w:rPr>
                                  <w:rStyle w:val="InternetLink"/>
                                </w:rPr>
                                <w:t xml:space="preserve"> A</w:t>
                              </w:r>
                            </w:hyperlink>
                            <w:hyperlink w:anchor="toc849638_65">
                              <w:r>
                                <w:rPr>
                                  <w:rStyle w:val="InternetLink"/>
                                  <w:sz w:val="20"/>
                                  <w:u w:val="single"/>
                                </w:rPr>
                                <w:t>WARDS</w:t>
                              </w:r>
                            </w:hyperlink>
                            <w:hyperlink w:anchor="toc849638_65">
                              <w:r>
                                <w:rPr>
                                  <w:rStyle w:val="InternetLink"/>
                                </w:rPr>
                                <w:t xml:space="preserve"> T</w:t>
                              </w:r>
                            </w:hyperlink>
                            <w:hyperlink w:anchor="toc849638_65">
                              <w:r>
                                <w:rPr>
                                  <w:rStyle w:val="InternetLink"/>
                                  <w:sz w:val="20"/>
                                  <w:u w:val="single"/>
                                </w:rPr>
                                <w: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6">
                              <w:r>
                                <w:rPr>
                                  <w:rStyle w:val="InternetLink"/>
                                </w:rPr>
                                <w:t>S</w:t>
                              </w:r>
                            </w:hyperlink>
                            <w:hyperlink w:anchor="toc849638_66">
                              <w:r>
                                <w:rPr>
                                  <w:rStyle w:val="InternetLink"/>
                                  <w:sz w:val="20"/>
                                  <w:u w:val="single"/>
                                </w:rPr>
                                <w:t>TOCK</w:t>
                              </w:r>
                            </w:hyperlink>
                            <w:hyperlink w:anchor="toc849638_66">
                              <w:r>
                                <w:rPr>
                                  <w:rStyle w:val="InternetLink"/>
                                </w:rPr>
                                <w:t xml:space="preserve"> V</w:t>
                              </w:r>
                            </w:hyperlink>
                            <w:hyperlink w:anchor="toc849638_66">
                              <w:r>
                                <w:rPr>
                                  <w:rStyle w:val="InternetLink"/>
                                  <w:sz w:val="20"/>
                                  <w:u w:val="single"/>
                                </w:rPr>
                                <w:t>ESTED</w:t>
                              </w:r>
                            </w:hyperlink>
                            <w:hyperlink w:anchor="toc849638_66">
                              <w:r>
                                <w:rPr>
                                  <w:rStyle w:val="InternetLink"/>
                                </w:rPr>
                                <w:t xml:space="preserve"> </w:t>
                              </w:r>
                            </w:hyperlink>
                            <w:hyperlink w:anchor="toc849638_66">
                              <w:r>
                                <w:rPr>
                                  <w:rStyle w:val="InternetLink"/>
                                  <w:sz w:val="20"/>
                                  <w:u w:val="single"/>
                                </w:rPr>
                                <w:t>AS</w:t>
                              </w:r>
                            </w:hyperlink>
                            <w:hyperlink w:anchor="toc849638_66">
                              <w:r>
                                <w:rPr>
                                  <w:rStyle w:val="InternetLink"/>
                                </w:rPr>
                                <w:t xml:space="preserve"> </w:t>
                              </w:r>
                            </w:hyperlink>
                            <w:hyperlink w:anchor="toc849638_66">
                              <w:r>
                                <w:rPr>
                                  <w:rStyle w:val="InternetLink"/>
                                  <w:sz w:val="20"/>
                                  <w:u w:val="single"/>
                                </w:rPr>
                                <w:t>OF</w:t>
                              </w:r>
                            </w:hyperlink>
                            <w:hyperlink w:anchor="toc849638_66">
                              <w:r>
                                <w:rPr>
                                  <w:rStyle w:val="InternetLink"/>
                                </w:rPr>
                                <w:t xml:space="preserve"> D</w:t>
                              </w:r>
                            </w:hyperlink>
                            <w:hyperlink w:anchor="toc849638_66">
                              <w:r>
                                <w:rPr>
                                  <w:rStyle w:val="InternetLink"/>
                                  <w:sz w:val="20"/>
                                  <w:u w:val="single"/>
                                </w:rPr>
                                <w:t>ECEMBER</w:t>
                              </w:r>
                            </w:hyperlink>
                            <w:hyperlink w:anchor="toc849638_66">
                              <w:r>
                                <w:rPr>
                                  <w:rStyle w:val="InternetLink"/>
                                </w:rPr>
                                <w:t xml:space="preserve"> 31, 2024</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7">
                              <w:r>
                                <w:rPr>
                                  <w:rStyle w:val="InternetLink"/>
                                </w:rPr>
                                <w:t>P</w:t>
                              </w:r>
                            </w:hyperlink>
                            <w:hyperlink w:anchor="toc849638_67">
                              <w:r>
                                <w:rPr>
                                  <w:rStyle w:val="InternetLink"/>
                                  <w:sz w:val="20"/>
                                  <w:u w:val="single"/>
                                </w:rPr>
                                <w:t>ENSION</w:t>
                              </w:r>
                            </w:hyperlink>
                            <w:hyperlink w:anchor="toc849638_67">
                              <w:r>
                                <w:rPr>
                                  <w:rStyle w:val="InternetLink"/>
                                </w:rPr>
                                <w:t xml:space="preserve"> B</w:t>
                              </w:r>
                            </w:hyperlink>
                            <w:hyperlink w:anchor="toc849638_67">
                              <w:r>
                                <w:rPr>
                                  <w:rStyle w:val="InternetLink"/>
                                  <w:sz w:val="20"/>
                                  <w:u w:val="single"/>
                                </w:rPr>
                                <w:t>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8">
                              <w:r>
                                <w:rPr>
                                  <w:rStyle w:val="InternetLink"/>
                                </w:rPr>
                                <w:t>N</w:t>
                              </w:r>
                            </w:hyperlink>
                            <w:hyperlink w:anchor="toc849638_68">
                              <w:r>
                                <w:rPr>
                                  <w:rStyle w:val="InternetLink"/>
                                  <w:sz w:val="20"/>
                                  <w:u w:val="single"/>
                                </w:rPr>
                                <w:t>ON</w:t>
                              </w:r>
                            </w:hyperlink>
                            <w:hyperlink w:anchor="toc849638_68">
                              <w:r>
                                <w:rPr>
                                  <w:rStyle w:val="InternetLink"/>
                                </w:rPr>
                                <w:t>-Q</w:t>
                              </w:r>
                            </w:hyperlink>
                            <w:hyperlink w:anchor="toc849638_68">
                              <w:r>
                                <w:rPr>
                                  <w:rStyle w:val="InternetLink"/>
                                  <w:sz w:val="20"/>
                                  <w:u w:val="single"/>
                                </w:rPr>
                                <w:t>UALIFIED</w:t>
                              </w:r>
                            </w:hyperlink>
                            <w:hyperlink w:anchor="toc849638_68">
                              <w:r>
                                <w:rPr>
                                  <w:rStyle w:val="InternetLink"/>
                                </w:rPr>
                                <w:t xml:space="preserve"> D</w:t>
                              </w:r>
                            </w:hyperlink>
                            <w:hyperlink w:anchor="toc849638_68">
                              <w:r>
                                <w:rPr>
                                  <w:rStyle w:val="InternetLink"/>
                                  <w:sz w:val="20"/>
                                  <w:u w:val="single"/>
                                </w:rPr>
                                <w:t>EFERRED</w:t>
                              </w:r>
                            </w:hyperlink>
                            <w:hyperlink w:anchor="toc849638_68">
                              <w:r>
                                <w:rPr>
                                  <w:rStyle w:val="InternetLink"/>
                                </w:rPr>
                                <w:t xml:space="preserve"> C</w:t>
                              </w:r>
                            </w:hyperlink>
                            <w:hyperlink w:anchor="toc849638_68">
                              <w:r>
                                <w:rPr>
                                  <w:rStyle w:val="InternetLink"/>
                                  <w:sz w:val="20"/>
                                  <w:u w:val="single"/>
                                </w:rPr>
                                <w:t>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69">
                              <w:r>
                                <w:rPr>
                                  <w:rStyle w:val="InternetLink"/>
                                </w:rPr>
                                <w:t>E</w:t>
                              </w:r>
                            </w:hyperlink>
                            <w:hyperlink w:anchor="toc849638_69">
                              <w:r>
                                <w:rPr>
                                  <w:rStyle w:val="InternetLink"/>
                                  <w:sz w:val="20"/>
                                  <w:u w:val="single"/>
                                </w:rPr>
                                <w:t>MPLOYMENT</w:t>
                              </w:r>
                            </w:hyperlink>
                            <w:hyperlink w:anchor="toc849638_69">
                              <w:r>
                                <w:rPr>
                                  <w:rStyle w:val="InternetLink"/>
                                </w:rPr>
                                <w:t xml:space="preserve"> A</w:t>
                              </w:r>
                            </w:hyperlink>
                            <w:hyperlink w:anchor="toc849638_69">
                              <w:r>
                                <w:rPr>
                                  <w:rStyle w:val="InternetLink"/>
                                  <w:sz w:val="20"/>
                                  <w:u w:val="single"/>
                                </w:rPr>
                                <w:t>GREEMENTS</w:t>
                              </w:r>
                            </w:hyperlink>
                            <w:hyperlink w:anchor="toc849638_69">
                              <w:r>
                                <w:rPr>
                                  <w:rStyle w:val="InternetLink"/>
                                </w:rPr>
                                <w:t>, S</w:t>
                              </w:r>
                            </w:hyperlink>
                            <w:hyperlink w:anchor="toc849638_69">
                              <w:r>
                                <w:rPr>
                                  <w:rStyle w:val="InternetLink"/>
                                  <w:sz w:val="20"/>
                                  <w:u w:val="single"/>
                                </w:rPr>
                                <w:t>EVERANCE</w:t>
                              </w:r>
                            </w:hyperlink>
                            <w:hyperlink w:anchor="toc849638_69">
                              <w:r>
                                <w:rPr>
                                  <w:rStyle w:val="InternetLink"/>
                                </w:rPr>
                                <w:t xml:space="preserve"> </w:t>
                              </w:r>
                            </w:hyperlink>
                            <w:hyperlink w:anchor="toc849638_69">
                              <w:r>
                                <w:rPr>
                                  <w:rStyle w:val="InternetLink"/>
                                  <w:sz w:val="20"/>
                                  <w:u w:val="single"/>
                                </w:rPr>
                                <w:t>AND</w:t>
                              </w:r>
                            </w:hyperlink>
                            <w:hyperlink w:anchor="toc849638_69">
                              <w:r>
                                <w:rPr>
                                  <w:rStyle w:val="InternetLink"/>
                                </w:rPr>
                                <w:t xml:space="preserve"> C</w:t>
                              </w:r>
                            </w:hyperlink>
                            <w:hyperlink w:anchor="toc849638_69">
                              <w:r>
                                <w:rPr>
                                  <w:rStyle w:val="InternetLink"/>
                                  <w:sz w:val="20"/>
                                  <w:u w:val="single"/>
                                </w:rPr>
                                <w:t>HANGE</w:t>
                              </w:r>
                            </w:hyperlink>
                            <w:hyperlink w:anchor="toc849638_69">
                              <w:r>
                                <w:rPr>
                                  <w:rStyle w:val="InternetLink"/>
                                </w:rPr>
                                <w:t xml:space="preserve"> </w:t>
                              </w:r>
                            </w:hyperlink>
                            <w:hyperlink w:anchor="toc849638_69">
                              <w:r>
                                <w:rPr>
                                  <w:rStyle w:val="InternetLink"/>
                                  <w:sz w:val="20"/>
                                  <w:u w:val="single"/>
                                </w:rPr>
                                <w:t>IN</w:t>
                              </w:r>
                            </w:hyperlink>
                            <w:hyperlink w:anchor="toc849638_69">
                              <w:r>
                                <w:rPr>
                                  <w:rStyle w:val="InternetLink"/>
                                </w:rPr>
                                <w:t xml:space="preserve"> C</w:t>
                              </w:r>
                            </w:hyperlink>
                            <w:hyperlink w:anchor="toc849638_69">
                              <w:r>
                                <w:rPr>
                                  <w:rStyle w:val="InternetLink"/>
                                  <w:sz w:val="20"/>
                                  <w:u w:val="single"/>
                                </w:rPr>
                                <w:t>ONTROL</w:t>
                              </w:r>
                            </w:hyperlink>
                            <w:hyperlink w:anchor="toc849638_69">
                              <w:r>
                                <w:rPr>
                                  <w:rStyle w:val="InternetLink"/>
                                </w:rPr>
                                <w:t xml:space="preserve"> B</w:t>
                              </w:r>
                            </w:hyperlink>
                            <w:hyperlink w:anchor="toc849638_69">
                              <w:r>
                                <w:rPr>
                                  <w:rStyle w:val="InternetLink"/>
                                  <w:sz w:val="20"/>
                                  <w:u w:val="single"/>
                                </w:rPr>
                                <w:t>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0">
                              <w:r>
                                <w:rPr>
                                  <w:rStyle w:val="InternetLink"/>
                                </w:rPr>
                                <w:t>C</w:t>
                              </w:r>
                            </w:hyperlink>
                            <w:hyperlink w:anchor="toc849638_70">
                              <w:r>
                                <w:rPr>
                                  <w:rStyle w:val="InternetLink"/>
                                  <w:sz w:val="20"/>
                                  <w:u w:val="single"/>
                                </w:rPr>
                                <w:t>HIEF</w:t>
                              </w:r>
                            </w:hyperlink>
                            <w:hyperlink w:anchor="toc849638_70">
                              <w:r>
                                <w:rPr>
                                  <w:rStyle w:val="InternetLink"/>
                                </w:rPr>
                                <w:t xml:space="preserve"> E</w:t>
                              </w:r>
                            </w:hyperlink>
                            <w:hyperlink w:anchor="toc849638_70">
                              <w:r>
                                <w:rPr>
                                  <w:rStyle w:val="InternetLink"/>
                                  <w:sz w:val="20"/>
                                  <w:u w:val="single"/>
                                </w:rPr>
                                <w:t>XECUTIVE</w:t>
                              </w:r>
                            </w:hyperlink>
                            <w:hyperlink w:anchor="toc849638_70">
                              <w:r>
                                <w:rPr>
                                  <w:rStyle w:val="InternetLink"/>
                                </w:rPr>
                                <w:t xml:space="preserve"> O</w:t>
                              </w:r>
                            </w:hyperlink>
                            <w:hyperlink w:anchor="toc849638_70">
                              <w:r>
                                <w:rPr>
                                  <w:rStyle w:val="InternetLink"/>
                                  <w:sz w:val="20"/>
                                  <w:u w:val="single"/>
                                </w:rPr>
                                <w:t>FFICER</w:t>
                              </w:r>
                            </w:hyperlink>
                            <w:hyperlink w:anchor="toc849638_70">
                              <w:r>
                                <w:rPr>
                                  <w:rStyle w:val="InternetLink"/>
                                </w:rPr>
                                <w:t xml:space="preserve"> P</w:t>
                              </w:r>
                            </w:hyperlink>
                            <w:hyperlink w:anchor="toc849638_70">
                              <w:r>
                                <w:rPr>
                                  <w:rStyle w:val="InternetLink"/>
                                  <w:sz w:val="20"/>
                                  <w:u w:val="single"/>
                                </w:rPr>
                                <w:t>AY</w:t>
                              </w:r>
                            </w:hyperlink>
                            <w:hyperlink w:anchor="toc849638_70">
                              <w:r>
                                <w:rPr>
                                  <w:rStyle w:val="InternetLink"/>
                                </w:rPr>
                                <w:t xml:space="preserve"> R</w:t>
                              </w:r>
                            </w:hyperlink>
                            <w:hyperlink w:anchor="toc849638_70">
                              <w:r>
                                <w:rPr>
                                  <w:rStyle w:val="InternetLink"/>
                                  <w:sz w:val="20"/>
                                  <w:u w:val="single"/>
                                </w:rPr>
                                <w:t>ATIO</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1">
                              <w:r>
                                <w:rPr>
                                  <w:rStyle w:val="InternetLink"/>
                                </w:rPr>
                                <w:t>P</w:t>
                              </w:r>
                            </w:hyperlink>
                            <w:hyperlink w:anchor="toc849638_71">
                              <w:r>
                                <w:rPr>
                                  <w:rStyle w:val="InternetLink"/>
                                  <w:sz w:val="20"/>
                                  <w:u w:val="single"/>
                                </w:rPr>
                                <w:t>AY</w:t>
                              </w:r>
                            </w:hyperlink>
                            <w:hyperlink w:anchor="toc849638_71">
                              <w:r>
                                <w:rPr>
                                  <w:rStyle w:val="InternetLink"/>
                                </w:rPr>
                                <w:t xml:space="preserve"> V</w:t>
                              </w:r>
                            </w:hyperlink>
                            <w:hyperlink w:anchor="toc849638_71">
                              <w:r>
                                <w:rPr>
                                  <w:rStyle w:val="InternetLink"/>
                                  <w:sz w:val="20"/>
                                  <w:u w:val="single"/>
                                </w:rPr>
                                <w:t>ERSUS</w:t>
                              </w:r>
                            </w:hyperlink>
                            <w:hyperlink w:anchor="toc849638_71">
                              <w:r>
                                <w:rPr>
                                  <w:rStyle w:val="InternetLink"/>
                                </w:rPr>
                                <w:t xml:space="preserve"> P</w:t>
                              </w:r>
                            </w:hyperlink>
                            <w:hyperlink w:anchor="toc849638_71">
                              <w:r>
                                <w:rPr>
                                  <w:rStyle w:val="InternetLink"/>
                                  <w:sz w:val="20"/>
                                  <w:u w:val="single"/>
                                </w:rPr>
                                <w:t>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2">
                              <w:r>
                                <w:rPr>
                                  <w:rStyle w:val="InternetLink"/>
                                  <w:b/>
                                  <w:color w:val="1070B8"/>
                                </w:rPr>
                                <w:t>STOCK OWNERSHIP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79</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73">
                              <w:r>
                                <w:rPr>
                                  <w:rStyle w:val="InternetLink"/>
                                </w:rPr>
                                <w:t>S</w:t>
                              </w:r>
                            </w:hyperlink>
                            <w:hyperlink w:anchor="toc849638_73">
                              <w:r>
                                <w:rPr>
                                  <w:rStyle w:val="InternetLink"/>
                                  <w:sz w:val="20"/>
                                  <w:u w:val="single"/>
                                </w:rPr>
                                <w:t>TOCK</w:t>
                              </w:r>
                            </w:hyperlink>
                            <w:hyperlink w:anchor="toc849638_73">
                              <w:r>
                                <w:rPr>
                                  <w:rStyle w:val="InternetLink"/>
                                </w:rPr>
                                <w:t xml:space="preserve"> O</w:t>
                              </w:r>
                            </w:hyperlink>
                            <w:hyperlink w:anchor="toc849638_73">
                              <w:r>
                                <w:rPr>
                                  <w:rStyle w:val="InternetLink"/>
                                  <w:sz w:val="20"/>
                                  <w:u w:val="single"/>
                                </w:rPr>
                                <w:t>WNERSHIP</w:t>
                              </w:r>
                            </w:hyperlink>
                            <w:hyperlink w:anchor="toc849638_73">
                              <w:r>
                                <w:rPr>
                                  <w:rStyle w:val="InternetLink"/>
                                </w:rPr>
                                <w:t xml:space="preserve"> T</w:t>
                              </w:r>
                            </w:hyperlink>
                            <w:hyperlink w:anchor="toc849638_73">
                              <w:r>
                                <w:rPr>
                                  <w:rStyle w:val="InternetLink"/>
                                  <w:sz w:val="20"/>
                                  <w:u w:val="single"/>
                                </w:rPr>
                                <w: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4">
                              <w:r>
                                <w:rPr>
                                  <w:rStyle w:val="InternetLink"/>
                                </w:rPr>
                                <w:t>S</w:t>
                              </w:r>
                            </w:hyperlink>
                            <w:hyperlink w:anchor="toc849638_74">
                              <w:r>
                                <w:rPr>
                                  <w:rStyle w:val="InternetLink"/>
                                  <w:sz w:val="20"/>
                                  <w:u w:val="single"/>
                                </w:rPr>
                                <w:t>ECURITIES</w:t>
                              </w:r>
                            </w:hyperlink>
                            <w:hyperlink w:anchor="toc849638_74">
                              <w:r>
                                <w:rPr>
                                  <w:rStyle w:val="InternetLink"/>
                                </w:rPr>
                                <w:t xml:space="preserve"> A</w:t>
                              </w:r>
                            </w:hyperlink>
                            <w:hyperlink w:anchor="toc849638_74">
                              <w:r>
                                <w:rPr>
                                  <w:rStyle w:val="InternetLink"/>
                                  <w:sz w:val="20"/>
                                  <w:u w:val="single"/>
                                </w:rPr>
                                <w:t>UTHORIZED</w:t>
                              </w:r>
                            </w:hyperlink>
                            <w:hyperlink w:anchor="toc849638_74">
                              <w:r>
                                <w:rPr>
                                  <w:rStyle w:val="InternetLink"/>
                                </w:rPr>
                                <w:t xml:space="preserve"> </w:t>
                              </w:r>
                            </w:hyperlink>
                            <w:hyperlink w:anchor="toc849638_74">
                              <w:r>
                                <w:rPr>
                                  <w:rStyle w:val="InternetLink"/>
                                  <w:sz w:val="20"/>
                                  <w:u w:val="single"/>
                                </w:rPr>
                                <w:t>FOR</w:t>
                              </w:r>
                            </w:hyperlink>
                            <w:hyperlink w:anchor="toc849638_74">
                              <w:r>
                                <w:rPr>
                                  <w:rStyle w:val="InternetLink"/>
                                </w:rPr>
                                <w:t xml:space="preserve"> I</w:t>
                              </w:r>
                            </w:hyperlink>
                            <w:hyperlink w:anchor="toc849638_74">
                              <w:r>
                                <w:rPr>
                                  <w:rStyle w:val="InternetLink"/>
                                  <w:sz w:val="20"/>
                                  <w:u w:val="single"/>
                                </w:rPr>
                                <w:t>SSUANCE</w:t>
                              </w:r>
                            </w:hyperlink>
                            <w:hyperlink w:anchor="toc849638_74">
                              <w:r>
                                <w:rPr>
                                  <w:rStyle w:val="InternetLink"/>
                                </w:rPr>
                                <w:t xml:space="preserve"> </w:t>
                              </w:r>
                            </w:hyperlink>
                            <w:hyperlink w:anchor="toc849638_74">
                              <w:r>
                                <w:rPr>
                                  <w:rStyle w:val="InternetLink"/>
                                  <w:sz w:val="20"/>
                                  <w:u w:val="single"/>
                                </w:rPr>
                                <w:t>UNDER</w:t>
                              </w:r>
                            </w:hyperlink>
                            <w:hyperlink w:anchor="toc849638_74">
                              <w:r>
                                <w:rPr>
                                  <w:rStyle w:val="InternetLink"/>
                                </w:rPr>
                                <w:t xml:space="preserve"> E</w:t>
                              </w:r>
                            </w:hyperlink>
                            <w:hyperlink w:anchor="toc849638_74">
                              <w:r>
                                <w:rPr>
                                  <w:rStyle w:val="InternetLink"/>
                                  <w:sz w:val="20"/>
                                  <w:u w:val="single"/>
                                </w:rPr>
                                <w:t>QUITY</w:t>
                              </w:r>
                            </w:hyperlink>
                            <w:hyperlink w:anchor="toc849638_74">
                              <w:r>
                                <w:rPr>
                                  <w:rStyle w:val="InternetLink"/>
                                </w:rPr>
                                <w:t xml:space="preserve"> C</w:t>
                              </w:r>
                            </w:hyperlink>
                            <w:hyperlink w:anchor="toc849638_74">
                              <w:r>
                                <w:rPr>
                                  <w:rStyle w:val="InternetLink"/>
                                  <w:sz w:val="20"/>
                                  <w:u w:val="single"/>
                                </w:rPr>
                                <w:t>OMPENSATION</w:t>
                              </w:r>
                            </w:hyperlink>
                            <w:hyperlink w:anchor="toc849638_74">
                              <w:r>
                                <w:rPr>
                                  <w:rStyle w:val="InternetLink"/>
                                </w:rPr>
                                <w:t xml:space="preserve"> P</w:t>
                              </w:r>
                            </w:hyperlink>
                            <w:hyperlink w:anchor="toc849638_74">
                              <w:r>
                                <w:rPr>
                                  <w:rStyle w:val="InternetLink"/>
                                  <w:sz w:val="20"/>
                                  <w:u w:val="single"/>
                                </w:rPr>
                                <w:t>LANS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5">
                              <w:r>
                                <w:rPr>
                                  <w:rStyle w:val="InternetLink"/>
                                  <w:b/>
                                  <w:color w:val="1070B8"/>
                                </w:rPr>
                                <w:t>RELATED PARTY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83</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76">
                              <w:r>
                                <w:rPr>
                                  <w:rStyle w:val="InternetLink"/>
                                </w:rPr>
                                <w:t>A</w:t>
                              </w:r>
                            </w:hyperlink>
                            <w:hyperlink w:anchor="toc849638_76">
                              <w:r>
                                <w:rPr>
                                  <w:rStyle w:val="InternetLink"/>
                                  <w:sz w:val="20"/>
                                  <w:u w:val="single"/>
                                </w:rPr>
                                <w:t>FFILIATE</w:t>
                              </w:r>
                            </w:hyperlink>
                            <w:hyperlink w:anchor="toc849638_76">
                              <w:r>
                                <w:rPr>
                                  <w:rStyle w:val="InternetLink"/>
                                </w:rPr>
                                <w:t xml:space="preserve"> S</w:t>
                              </w:r>
                            </w:hyperlink>
                            <w:hyperlink w:anchor="toc849638_76">
                              <w:r>
                                <w:rPr>
                                  <w:rStyle w:val="InternetLink"/>
                                  <w:sz w:val="20"/>
                                  <w:u w:val="single"/>
                                </w:rPr>
                                <w:t>ALES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7">
                              <w:r>
                                <w:rPr>
                                  <w:rStyle w:val="InternetLink"/>
                                </w:rPr>
                                <w:t>R</w:t>
                              </w:r>
                            </w:hyperlink>
                            <w:hyperlink w:anchor="toc849638_77">
                              <w:r>
                                <w:rPr>
                                  <w:rStyle w:val="InternetLink"/>
                                  <w:sz w:val="20"/>
                                  <w:u w:val="single"/>
                                </w:rPr>
                                <w:t>EAL</w:t>
                              </w:r>
                            </w:hyperlink>
                            <w:hyperlink w:anchor="toc849638_77">
                              <w:r>
                                <w:rPr>
                                  <w:rStyle w:val="InternetLink"/>
                                </w:rPr>
                                <w:t xml:space="preserve"> P</w:t>
                              </w:r>
                            </w:hyperlink>
                            <w:hyperlink w:anchor="toc849638_77">
                              <w:r>
                                <w:rPr>
                                  <w:rStyle w:val="InternetLink"/>
                                  <w:sz w:val="20"/>
                                  <w:u w:val="single"/>
                                </w:rPr>
                                <w:t>ROPERTY</w:t>
                              </w:r>
                            </w:hyperlink>
                            <w:hyperlink w:anchor="toc849638_77">
                              <w:r>
                                <w:rPr>
                                  <w:rStyle w:val="InternetLink"/>
                                </w:rPr>
                                <w:t xml:space="preserve"> L</w:t>
                              </w:r>
                            </w:hyperlink>
                            <w:hyperlink w:anchor="toc849638_77">
                              <w:r>
                                <w:rPr>
                                  <w:rStyle w:val="InternetLink"/>
                                  <w:sz w:val="20"/>
                                  <w:u w:val="single"/>
                                </w:rPr>
                                <w:t>EASES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8">
                              <w:r>
                                <w:rPr>
                                  <w:rStyle w:val="InternetLink"/>
                                </w:rPr>
                                <w:t>A</w:t>
                              </w:r>
                            </w:hyperlink>
                            <w:hyperlink w:anchor="toc849638_78">
                              <w:r>
                                <w:rPr>
                                  <w:rStyle w:val="InternetLink"/>
                                  <w:sz w:val="20"/>
                                  <w:u w:val="single"/>
                                </w:rPr>
                                <w:t>IRCRAFT</w:t>
                              </w:r>
                            </w:hyperlink>
                            <w:hyperlink w:anchor="toc849638_78">
                              <w:r>
                                <w:rPr>
                                  <w:rStyle w:val="InternetLink"/>
                                </w:rPr>
                                <w:t xml:space="preserve"> L</w:t>
                              </w:r>
                            </w:hyperlink>
                            <w:hyperlink w:anchor="toc849638_78">
                              <w:r>
                                <w:rPr>
                                  <w:rStyle w:val="InternetLink"/>
                                  <w:sz w:val="20"/>
                                  <w:u w:val="single"/>
                                </w:rPr>
                                <w:t>EASE</w:t>
                              </w:r>
                            </w:hyperlink>
                            <w:hyperlink w:anchor="toc849638_78">
                              <w:r>
                                <w:rPr>
                                  <w:rStyle w:val="InternetLink"/>
                                </w:rPr>
                                <w:t xml:space="preserve"> </w:t>
                              </w:r>
                            </w:hyperlink>
                            <w:hyperlink w:anchor="toc849638_78">
                              <w:r>
                                <w:rPr>
                                  <w:rStyle w:val="InternetLink"/>
                                  <w:sz w:val="20"/>
                                  <w:u w:val="single"/>
                                </w:rPr>
                                <w:t>AND</w:t>
                              </w:r>
                            </w:hyperlink>
                            <w:hyperlink w:anchor="toc849638_78">
                              <w:r>
                                <w:rPr>
                                  <w:rStyle w:val="InternetLink"/>
                                </w:rPr>
                                <w:t xml:space="preserve"> O</w:t>
                              </w:r>
                            </w:hyperlink>
                            <w:hyperlink w:anchor="toc849638_78">
                              <w:r>
                                <w:rPr>
                                  <w:rStyle w:val="InternetLink"/>
                                  <w:sz w:val="20"/>
                                  <w:u w:val="single"/>
                                </w:rPr>
                                <w:t>WNERSHIP</w:t>
                              </w:r>
                            </w:hyperlink>
                            <w:hyperlink w:anchor="toc849638_78">
                              <w:r>
                                <w:rPr>
                                  <w:rStyle w:val="InternetLink"/>
                                </w:rPr>
                                <w:t xml:space="preserve"> A</w:t>
                              </w:r>
                            </w:hyperlink>
                            <w:hyperlink w:anchor="toc849638_78">
                              <w:r>
                                <w:rPr>
                                  <w:rStyle w:val="InternetLink"/>
                                  <w:sz w:val="20"/>
                                  <w:u w:val="single"/>
                                </w:rPr>
                                <w:t>GREEMENT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79">
                              <w:r>
                                <w:rPr>
                                  <w:rStyle w:val="InternetLink"/>
                                </w:rPr>
                                <w:t>S</w:t>
                              </w:r>
                            </w:hyperlink>
                            <w:hyperlink w:anchor="toc849638_79">
                              <w:r>
                                <w:rPr>
                                  <w:rStyle w:val="InternetLink"/>
                                  <w:sz w:val="20"/>
                                  <w:u w:val="single"/>
                                </w:rPr>
                                <w:t>HARE</w:t>
                              </w:r>
                            </w:hyperlink>
                            <w:hyperlink w:anchor="toc849638_79">
                              <w:r>
                                <w:rPr>
                                  <w:rStyle w:val="InternetLink"/>
                                </w:rPr>
                                <w:t xml:space="preserve"> R</w:t>
                              </w:r>
                            </w:hyperlink>
                            <w:hyperlink w:anchor="toc849638_79">
                              <w:r>
                                <w:rPr>
                                  <w:rStyle w:val="InternetLink"/>
                                  <w:sz w:val="20"/>
                                  <w:u w:val="single"/>
                                </w:rPr>
                                <w:t>EPURCHASES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0">
                              <w:r>
                                <w:rPr>
                                  <w:rStyle w:val="InternetLink"/>
                                </w:rPr>
                                <w:t>P</w:t>
                              </w:r>
                            </w:hyperlink>
                            <w:hyperlink w:anchor="toc849638_80">
                              <w:r>
                                <w:rPr>
                                  <w:rStyle w:val="InternetLink"/>
                                  <w:sz w:val="20"/>
                                  <w:u w:val="single"/>
                                </w:rPr>
                                <w:t>OLICIES</w:t>
                              </w:r>
                            </w:hyperlink>
                            <w:hyperlink w:anchor="toc849638_80">
                              <w:r>
                                <w:rPr>
                                  <w:rStyle w:val="InternetLink"/>
                                </w:rPr>
                                <w:t xml:space="preserve"> </w:t>
                              </w:r>
                            </w:hyperlink>
                            <w:hyperlink w:anchor="toc849638_80">
                              <w:r>
                                <w:rPr>
                                  <w:rStyle w:val="InternetLink"/>
                                  <w:sz w:val="20"/>
                                  <w:u w:val="single"/>
                                </w:rPr>
                                <w:t>AND</w:t>
                              </w:r>
                            </w:hyperlink>
                            <w:hyperlink w:anchor="toc849638_80">
                              <w:r>
                                <w:rPr>
                                  <w:rStyle w:val="InternetLink"/>
                                </w:rPr>
                                <w:t xml:space="preserve"> P</w:t>
                              </w:r>
                            </w:hyperlink>
                            <w:hyperlink w:anchor="toc849638_80">
                              <w:r>
                                <w:rPr>
                                  <w:rStyle w:val="InternetLink"/>
                                  <w:sz w:val="20"/>
                                  <w:u w:val="single"/>
                                </w:rPr>
                                <w:t>ROCEDURES</w:t>
                              </w:r>
                            </w:hyperlink>
                            <w:hyperlink w:anchor="toc849638_80">
                              <w:r>
                                <w:rPr>
                                  <w:rStyle w:val="InternetLink"/>
                                </w:rPr>
                                <w:t xml:space="preserve"> </w:t>
                              </w:r>
                            </w:hyperlink>
                            <w:hyperlink w:anchor="toc849638_80">
                              <w:r>
                                <w:rPr>
                                  <w:rStyle w:val="InternetLink"/>
                                  <w:sz w:val="20"/>
                                  <w:u w:val="single"/>
                                </w:rPr>
                                <w:t>FOR</w:t>
                              </w:r>
                            </w:hyperlink>
                            <w:hyperlink w:anchor="toc849638_80">
                              <w:r>
                                <w:rPr>
                                  <w:rStyle w:val="InternetLink"/>
                                </w:rPr>
                                <w:t xml:space="preserve"> R</w:t>
                              </w:r>
                            </w:hyperlink>
                            <w:hyperlink w:anchor="toc849638_80">
                              <w:r>
                                <w:rPr>
                                  <w:rStyle w:val="InternetLink"/>
                                  <w:sz w:val="20"/>
                                  <w:u w:val="single"/>
                                </w:rPr>
                                <w:t>ELATED</w:t>
                              </w:r>
                            </w:hyperlink>
                            <w:hyperlink w:anchor="toc849638_80">
                              <w:r>
                                <w:rPr>
                                  <w:rStyle w:val="InternetLink"/>
                                </w:rPr>
                                <w:t xml:space="preserve"> P</w:t>
                              </w:r>
                            </w:hyperlink>
                            <w:hyperlink w:anchor="toc849638_80">
                              <w:r>
                                <w:rPr>
                                  <w:rStyle w:val="InternetLink"/>
                                  <w:sz w:val="20"/>
                                  <w:u w:val="single"/>
                                </w:rPr>
                                <w:t>ARTY</w:t>
                              </w:r>
                            </w:hyperlink>
                            <w:hyperlink w:anchor="toc849638_80">
                              <w:r>
                                <w:rPr>
                                  <w:rStyle w:val="InternetLink"/>
                                </w:rPr>
                                <w:t xml:space="preserve"> T</w:t>
                              </w:r>
                            </w:hyperlink>
                            <w:hyperlink w:anchor="toc849638_80">
                              <w:r>
                                <w:rPr>
                                  <w:rStyle w:val="InternetLink"/>
                                  <w:sz w:val="20"/>
                                  <w:u w:val="single"/>
                                </w:rPr>
                                <w: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1">
                              <w:r>
                                <w:rPr>
                                  <w:rStyle w:val="InternetLink"/>
                                  <w:b/>
                                  <w:color w:val="1070B8"/>
                                </w:rPr>
                                <w:t>STOCKHOLDER PROPOSALS FOR THE 2026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85</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82">
                              <w:r>
                                <w:rPr>
                                  <w:rStyle w:val="InternetLink"/>
                                </w:rPr>
                                <w:t>P</w:t>
                              </w:r>
                            </w:hyperlink>
                            <w:hyperlink w:anchor="toc849638_82">
                              <w:r>
                                <w:rPr>
                                  <w:rStyle w:val="InternetLink"/>
                                  <w:sz w:val="20"/>
                                  <w:u w:val="single"/>
                                </w:rPr>
                                <w:t>ROPOSALS</w:t>
                              </w:r>
                            </w:hyperlink>
                            <w:hyperlink w:anchor="toc849638_82">
                              <w:r>
                                <w:rPr>
                                  <w:rStyle w:val="InternetLink"/>
                                </w:rPr>
                                <w:t xml:space="preserve"> </w:t>
                              </w:r>
                            </w:hyperlink>
                            <w:hyperlink w:anchor="toc849638_82">
                              <w:r>
                                <w:rPr>
                                  <w:rStyle w:val="InternetLink"/>
                                  <w:sz w:val="20"/>
                                  <w:u w:val="single"/>
                                </w:rPr>
                                <w:t>FOR</w:t>
                              </w:r>
                            </w:hyperlink>
                            <w:hyperlink w:anchor="toc849638_82">
                              <w:r>
                                <w:rPr>
                                  <w:rStyle w:val="InternetLink"/>
                                </w:rPr>
                                <w:t xml:space="preserve"> I</w:t>
                              </w:r>
                            </w:hyperlink>
                            <w:hyperlink w:anchor="toc849638_82">
                              <w:r>
                                <w:rPr>
                                  <w:rStyle w:val="InternetLink"/>
                                  <w:sz w:val="20"/>
                                  <w:u w:val="single"/>
                                </w:rPr>
                                <w:t>NCLUSION</w:t>
                              </w:r>
                            </w:hyperlink>
                            <w:hyperlink w:anchor="toc849638_82">
                              <w:r>
                                <w:rPr>
                                  <w:rStyle w:val="InternetLink"/>
                                </w:rPr>
                                <w:t xml:space="preserve"> </w:t>
                              </w:r>
                            </w:hyperlink>
                            <w:hyperlink w:anchor="toc849638_82">
                              <w:r>
                                <w:rPr>
                                  <w:rStyle w:val="InternetLink"/>
                                  <w:sz w:val="20"/>
                                  <w:u w:val="single"/>
                                </w:rPr>
                                <w:t>IN</w:t>
                              </w:r>
                            </w:hyperlink>
                            <w:hyperlink w:anchor="toc849638_82">
                              <w:r>
                                <w:rPr>
                                  <w:rStyle w:val="InternetLink"/>
                                </w:rPr>
                                <w:t xml:space="preserve"> </w:t>
                              </w:r>
                            </w:hyperlink>
                            <w:hyperlink w:anchor="toc849638_82">
                              <w:r>
                                <w:rPr>
                                  <w:rStyle w:val="InternetLink"/>
                                  <w:sz w:val="20"/>
                                  <w:u w:val="single"/>
                                </w:rPr>
                                <w:t>OUR</w:t>
                              </w:r>
                            </w:hyperlink>
                            <w:hyperlink w:anchor="toc849638_82">
                              <w:r>
                                <w:rPr>
                                  <w:rStyle w:val="InternetLink"/>
                                </w:rPr>
                                <w:t xml:space="preserve"> 2026 P</w:t>
                              </w:r>
                            </w:hyperlink>
                            <w:hyperlink w:anchor="toc849638_82">
                              <w:r>
                                <w:rPr>
                                  <w:rStyle w:val="InternetLink"/>
                                  <w:sz w:val="20"/>
                                  <w:u w:val="single"/>
                                </w:rPr>
                                <w:t>ROXY</w:t>
                              </w:r>
                            </w:hyperlink>
                            <w:hyperlink w:anchor="toc849638_82">
                              <w:r>
                                <w:rPr>
                                  <w:rStyle w:val="InternetLink"/>
                                </w:rPr>
                                <w:t xml:space="preserve"> S</w:t>
                              </w:r>
                            </w:hyperlink>
                            <w:hyperlink w:anchor="toc849638_82">
                              <w:r>
                                <w:rPr>
                                  <w:rStyle w:val="InternetLink"/>
                                  <w:sz w:val="20"/>
                                  <w:u w:val="single"/>
                                </w:rPr>
                                <w:t>TATEMENT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85</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3">
                              <w:r>
                                <w:rPr>
                                  <w:rStyle w:val="InternetLink"/>
                                </w:rPr>
                                <w:t>D</w:t>
                              </w:r>
                            </w:hyperlink>
                            <w:hyperlink w:anchor="toc849638_83">
                              <w:r>
                                <w:rPr>
                                  <w:rStyle w:val="InternetLink"/>
                                  <w:sz w:val="20"/>
                                  <w:u w:val="single"/>
                                </w:rPr>
                                <w:t>IRECTOR</w:t>
                              </w:r>
                            </w:hyperlink>
                            <w:hyperlink w:anchor="toc849638_83">
                              <w:r>
                                <w:rPr>
                                  <w:rStyle w:val="InternetLink"/>
                                </w:rPr>
                                <w:t xml:space="preserve"> N</w:t>
                              </w:r>
                            </w:hyperlink>
                            <w:hyperlink w:anchor="toc849638_83">
                              <w:r>
                                <w:rPr>
                                  <w:rStyle w:val="InternetLink"/>
                                  <w:sz w:val="20"/>
                                  <w:u w:val="single"/>
                                </w:rPr>
                                <w:t>OMINEES</w:t>
                              </w:r>
                            </w:hyperlink>
                            <w:hyperlink w:anchor="toc849638_83">
                              <w:r>
                                <w:rPr>
                                  <w:rStyle w:val="InternetLink"/>
                                </w:rPr>
                                <w:t xml:space="preserve"> </w:t>
                              </w:r>
                            </w:hyperlink>
                            <w:hyperlink w:anchor="toc849638_83">
                              <w:r>
                                <w:rPr>
                                  <w:rStyle w:val="InternetLink"/>
                                  <w:sz w:val="20"/>
                                  <w:u w:val="single"/>
                                </w:rPr>
                                <w:t>FOR</w:t>
                              </w:r>
                            </w:hyperlink>
                            <w:hyperlink w:anchor="toc849638_83">
                              <w:r>
                                <w:rPr>
                                  <w:rStyle w:val="InternetLink"/>
                                </w:rPr>
                                <w:t xml:space="preserve"> I</w:t>
                              </w:r>
                            </w:hyperlink>
                            <w:hyperlink w:anchor="toc849638_83">
                              <w:r>
                                <w:rPr>
                                  <w:rStyle w:val="InternetLink"/>
                                  <w:sz w:val="20"/>
                                  <w:u w:val="single"/>
                                </w:rPr>
                                <w:t>NCLUSION</w:t>
                              </w:r>
                            </w:hyperlink>
                            <w:hyperlink w:anchor="toc849638_83">
                              <w:r>
                                <w:rPr>
                                  <w:rStyle w:val="InternetLink"/>
                                </w:rPr>
                                <w:t xml:space="preserve"> </w:t>
                              </w:r>
                            </w:hyperlink>
                            <w:hyperlink w:anchor="toc849638_83">
                              <w:r>
                                <w:rPr>
                                  <w:rStyle w:val="InternetLink"/>
                                  <w:sz w:val="20"/>
                                  <w:u w:val="single"/>
                                </w:rPr>
                                <w:t>IN</w:t>
                              </w:r>
                            </w:hyperlink>
                            <w:hyperlink w:anchor="toc849638_83">
                              <w:r>
                                <w:rPr>
                                  <w:rStyle w:val="InternetLink"/>
                                </w:rPr>
                                <w:t xml:space="preserve"> </w:t>
                              </w:r>
                            </w:hyperlink>
                            <w:hyperlink w:anchor="toc849638_83">
                              <w:r>
                                <w:rPr>
                                  <w:rStyle w:val="InternetLink"/>
                                  <w:sz w:val="20"/>
                                  <w:u w:val="single"/>
                                </w:rPr>
                                <w:t>OUR</w:t>
                              </w:r>
                            </w:hyperlink>
                            <w:hyperlink w:anchor="toc849638_83">
                              <w:r>
                                <w:rPr>
                                  <w:rStyle w:val="InternetLink"/>
                                </w:rPr>
                                <w:t xml:space="preserve"> 2026 P</w:t>
                              </w:r>
                            </w:hyperlink>
                            <w:hyperlink w:anchor="toc849638_83">
                              <w:r>
                                <w:rPr>
                                  <w:rStyle w:val="InternetLink"/>
                                  <w:sz w:val="20"/>
                                  <w:u w:val="single"/>
                                </w:rPr>
                                <w:t>ROXY</w:t>
                              </w:r>
                            </w:hyperlink>
                            <w:hyperlink w:anchor="toc849638_83">
                              <w:r>
                                <w:rPr>
                                  <w:rStyle w:val="InternetLink"/>
                                </w:rPr>
                                <w:t xml:space="preserve"> S</w:t>
                              </w:r>
                            </w:hyperlink>
                            <w:hyperlink w:anchor="toc849638_83">
                              <w:r>
                                <w:rPr>
                                  <w:rStyle w:val="InternetLink"/>
                                  <w:sz w:val="20"/>
                                  <w:u w:val="single"/>
                                </w:rPr>
                                <w:t>TATEMENT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85</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4">
                              <w:r>
                                <w:rPr>
                                  <w:rStyle w:val="InternetLink"/>
                                </w:rPr>
                                <w:t>O</w:t>
                              </w:r>
                            </w:hyperlink>
                            <w:hyperlink w:anchor="toc849638_84">
                              <w:r>
                                <w:rPr>
                                  <w:rStyle w:val="InternetLink"/>
                                  <w:sz w:val="20"/>
                                  <w:u w:val="single"/>
                                </w:rPr>
                                <w:t>THER</w:t>
                              </w:r>
                            </w:hyperlink>
                            <w:hyperlink w:anchor="toc849638_84">
                              <w:r>
                                <w:rPr>
                                  <w:rStyle w:val="InternetLink"/>
                                </w:rPr>
                                <w:t xml:space="preserve"> P</w:t>
                              </w:r>
                            </w:hyperlink>
                            <w:hyperlink w:anchor="toc849638_84">
                              <w:r>
                                <w:rPr>
                                  <w:rStyle w:val="InternetLink"/>
                                  <w:sz w:val="20"/>
                                  <w:u w:val="single"/>
                                </w:rPr>
                                <w:t>ROPOSALS</w:t>
                              </w:r>
                            </w:hyperlink>
                            <w:hyperlink w:anchor="toc849638_84">
                              <w:r>
                                <w:rPr>
                                  <w:rStyle w:val="InternetLink"/>
                                </w:rPr>
                                <w:t xml:space="preserve"> </w:t>
                              </w:r>
                            </w:hyperlink>
                            <w:hyperlink w:anchor="toc849638_84">
                              <w:r>
                                <w:rPr>
                                  <w:rStyle w:val="InternetLink"/>
                                  <w:sz w:val="20"/>
                                  <w:u w:val="single"/>
                                </w:rPr>
                                <w:t>FOR</w:t>
                              </w:r>
                            </w:hyperlink>
                            <w:hyperlink w:anchor="toc849638_84">
                              <w:r>
                                <w:rPr>
                                  <w:rStyle w:val="InternetLink"/>
                                </w:rPr>
                                <w:t xml:space="preserve"> </w:t>
                              </w:r>
                            </w:hyperlink>
                            <w:hyperlink w:anchor="toc849638_84">
                              <w:r>
                                <w:rPr>
                                  <w:rStyle w:val="InternetLink"/>
                                  <w:sz w:val="20"/>
                                  <w:u w:val="single"/>
                                </w:rPr>
                                <w:t>THE</w:t>
                              </w:r>
                            </w:hyperlink>
                            <w:hyperlink w:anchor="toc849638_84">
                              <w:r>
                                <w:rPr>
                                  <w:rStyle w:val="InternetLink"/>
                                </w:rPr>
                                <w:t xml:space="preserve"> 2026 A</w:t>
                              </w:r>
                            </w:hyperlink>
                            <w:hyperlink w:anchor="toc849638_84">
                              <w:r>
                                <w:rPr>
                                  <w:rStyle w:val="InternetLink"/>
                                  <w:sz w:val="20"/>
                                  <w:u w:val="single"/>
                                </w:rPr>
                                <w:t>NNUAL</w:t>
                              </w:r>
                            </w:hyperlink>
                            <w:hyperlink w:anchor="toc849638_84">
                              <w:r>
                                <w:rPr>
                                  <w:rStyle w:val="InternetLink"/>
                                </w:rPr>
                                <w:t xml:space="preserve"> M</w:t>
                              </w:r>
                            </w:hyperlink>
                            <w:hyperlink w:anchor="toc849638_84">
                              <w:r>
                                <w:rPr>
                                  <w:rStyle w:val="InternetLink"/>
                                  <w:sz w:val="20"/>
                                  <w:u w:val="single"/>
                                </w:rPr>
                                <w:t>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85</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5">
                              <w:r>
                                <w:rPr>
                                  <w:rStyle w:val="InternetLink"/>
                                  <w:b/>
                                  <w:color w:val="1070B8"/>
                                </w:rPr>
                                <w:t>ADDITIONAL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86</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86">
                              <w:r>
                                <w:rPr>
                                  <w:rStyle w:val="InternetLink"/>
                                </w:rPr>
                                <w:t>H</w:t>
                              </w:r>
                            </w:hyperlink>
                            <w:hyperlink w:anchor="toc849638_86">
                              <w:r>
                                <w:rPr>
                                  <w:rStyle w:val="InternetLink"/>
                                  <w:sz w:val="20"/>
                                  <w:u w:val="single"/>
                                </w:rPr>
                                <w:t>OUSEHOLDING</w:t>
                              </w:r>
                            </w:hyperlink>
                            <w:hyperlink w:anchor="toc849638_86">
                              <w:r>
                                <w:rPr>
                                  <w:rStyle w:val="InternetLink"/>
                                </w:rPr>
                                <w:t xml:space="preserve"> </w:t>
                              </w:r>
                            </w:hyperlink>
                            <w:hyperlink w:anchor="toc849638_86">
                              <w:r>
                                <w:rPr>
                                  <w:rStyle w:val="InternetLink"/>
                                  <w:sz w:val="20"/>
                                  <w:u w:val="single"/>
                                </w:rPr>
                                <w:t>OF</w:t>
                              </w:r>
                            </w:hyperlink>
                            <w:hyperlink w:anchor="toc849638_86">
                              <w:r>
                                <w:rPr>
                                  <w:rStyle w:val="InternetLink"/>
                                </w:rPr>
                                <w:t xml:space="preserve"> P</w:t>
                              </w:r>
                            </w:hyperlink>
                            <w:hyperlink w:anchor="toc849638_86">
                              <w:r>
                                <w:rPr>
                                  <w:rStyle w:val="InternetLink"/>
                                  <w:sz w:val="20"/>
                                  <w:u w:val="single"/>
                                </w:rPr>
                                <w:t>ROXY</w:t>
                              </w:r>
                            </w:hyperlink>
                            <w:hyperlink w:anchor="toc849638_86">
                              <w:r>
                                <w:rPr>
                                  <w:rStyle w:val="InternetLink"/>
                                </w:rPr>
                                <w:t xml:space="preserve"> M</w:t>
                              </w:r>
                            </w:hyperlink>
                            <w:hyperlink w:anchor="toc849638_86">
                              <w:r>
                                <w:rPr>
                                  <w:rStyle w:val="InternetLink"/>
                                  <w:sz w:val="20"/>
                                  <w:u w:val="single"/>
                                </w:rPr>
                                <w:t>ATERIALS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7">
                              <w:r>
                                <w:rPr>
                                  <w:rStyle w:val="InternetLink"/>
                                </w:rPr>
                                <w:t>S</w:t>
                              </w:r>
                            </w:hyperlink>
                            <w:hyperlink w:anchor="toc849638_87">
                              <w:r>
                                <w:rPr>
                                  <w:rStyle w:val="InternetLink"/>
                                  <w:sz w:val="20"/>
                                  <w:u w:val="single"/>
                                </w:rPr>
                                <w:t>OLICITATION</w:t>
                              </w:r>
                            </w:hyperlink>
                            <w:hyperlink w:anchor="toc849638_87">
                              <w:r>
                                <w:rPr>
                                  <w:rStyle w:val="InternetLink"/>
                                </w:rPr>
                                <w:t xml:space="preserve"> </w:t>
                              </w:r>
                            </w:hyperlink>
                            <w:hyperlink w:anchor="toc849638_87">
                              <w:r>
                                <w:rPr>
                                  <w:rStyle w:val="InternetLink"/>
                                  <w:sz w:val="20"/>
                                  <w:u w:val="single"/>
                                </w:rPr>
                                <w:t>OF</w:t>
                              </w:r>
                            </w:hyperlink>
                            <w:hyperlink w:anchor="toc849638_87">
                              <w:r>
                                <w:rPr>
                                  <w:rStyle w:val="InternetLink"/>
                                </w:rPr>
                                <w:t xml:space="preserve"> P</w:t>
                              </w:r>
                            </w:hyperlink>
                            <w:hyperlink w:anchor="toc849638_87">
                              <w:r>
                                <w:rPr>
                                  <w:rStyle w:val="InternetLink"/>
                                  <w:sz w:val="20"/>
                                  <w:u w:val="single"/>
                                </w:rPr>
                                <w:t>ROXIES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8">
                              <w:r>
                                <w:rPr>
                                  <w:rStyle w:val="InternetLink"/>
                                </w:rPr>
                                <w:t>I</w:t>
                              </w:r>
                            </w:hyperlink>
                            <w:hyperlink w:anchor="toc849638_88">
                              <w:r>
                                <w:rPr>
                                  <w:rStyle w:val="InternetLink"/>
                                  <w:sz w:val="20"/>
                                  <w:u w:val="single"/>
                                </w:rPr>
                                <w:t>NCORPORATION</w:t>
                              </w:r>
                            </w:hyperlink>
                            <w:hyperlink w:anchor="toc849638_88">
                              <w:r>
                                <w:rPr>
                                  <w:rStyle w:val="InternetLink"/>
                                </w:rPr>
                                <w:t xml:space="preserve"> </w:t>
                              </w:r>
                            </w:hyperlink>
                            <w:hyperlink w:anchor="toc849638_88">
                              <w:r>
                                <w:rPr>
                                  <w:rStyle w:val="InternetLink"/>
                                  <w:sz w:val="20"/>
                                  <w:u w:val="single"/>
                                </w:rPr>
                                <w:t>BY</w:t>
                              </w:r>
                            </w:hyperlink>
                            <w:hyperlink w:anchor="toc849638_88">
                              <w:r>
                                <w:rPr>
                                  <w:rStyle w:val="InternetLink"/>
                                </w:rPr>
                                <w:t xml:space="preserve"> R</w:t>
                              </w:r>
                            </w:hyperlink>
                            <w:hyperlink w:anchor="toc849638_88">
                              <w:r>
                                <w:rPr>
                                  <w:rStyle w:val="InternetLink"/>
                                  <w:sz w:val="20"/>
                                  <w:u w:val="single"/>
                                </w:rPr>
                                <w:t>EFERENCE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89">
                              <w:r>
                                <w:rPr>
                                  <w:rStyle w:val="InternetLink"/>
                                </w:rPr>
                                <w:t>F</w:t>
                              </w:r>
                            </w:hyperlink>
                            <w:hyperlink w:anchor="toc849638_89">
                              <w:r>
                                <w:rPr>
                                  <w:rStyle w:val="InternetLink"/>
                                  <w:sz w:val="20"/>
                                  <w:u w:val="single"/>
                                </w:rPr>
                                <w:t>ORWARD</w:t>
                              </w:r>
                            </w:hyperlink>
                            <w:hyperlink w:anchor="toc849638_89">
                              <w:r>
                                <w:rPr>
                                  <w:rStyle w:val="InternetLink"/>
                                </w:rPr>
                                <w:t xml:space="preserve"> L</w:t>
                              </w:r>
                            </w:hyperlink>
                            <w:hyperlink w:anchor="toc849638_89">
                              <w:r>
                                <w:rPr>
                                  <w:rStyle w:val="InternetLink"/>
                                  <w:sz w:val="20"/>
                                  <w:u w:val="single"/>
                                </w:rPr>
                                <w:t>OOKING</w:t>
                              </w:r>
                            </w:hyperlink>
                            <w:hyperlink w:anchor="toc849638_89">
                              <w:r>
                                <w:rPr>
                                  <w:rStyle w:val="InternetLink"/>
                                </w:rPr>
                                <w:t xml:space="preserve"> S</w:t>
                              </w:r>
                            </w:hyperlink>
                            <w:hyperlink w:anchor="toc849638_89">
                              <w:r>
                                <w:rPr>
                                  <w:rStyle w:val="InternetLink"/>
                                  <w:sz w:val="20"/>
                                  <w:u w:val="single"/>
                                </w:rPr>
                                <w:t>TATEMENTS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0">
                              <w:r>
                                <w:rPr>
                                  <w:rStyle w:val="InternetLink"/>
                                </w:rPr>
                                <w:t>A</w:t>
                              </w:r>
                            </w:hyperlink>
                            <w:hyperlink w:anchor="toc849638_90">
                              <w:r>
                                <w:rPr>
                                  <w:rStyle w:val="InternetLink"/>
                                  <w:sz w:val="20"/>
                                  <w:u w:val="single"/>
                                </w:rPr>
                                <w:t>VAILABILITY</w:t>
                              </w:r>
                            </w:hyperlink>
                            <w:hyperlink w:anchor="toc849638_90">
                              <w:r>
                                <w:rPr>
                                  <w:rStyle w:val="InternetLink"/>
                                </w:rPr>
                                <w:t xml:space="preserve"> </w:t>
                              </w:r>
                            </w:hyperlink>
                            <w:hyperlink w:anchor="toc849638_90">
                              <w:r>
                                <w:rPr>
                                  <w:rStyle w:val="InternetLink"/>
                                  <w:sz w:val="20"/>
                                  <w:u w:val="single"/>
                                </w:rPr>
                                <w:t>OF</w:t>
                              </w:r>
                            </w:hyperlink>
                            <w:hyperlink w:anchor="toc849638_90">
                              <w:r>
                                <w:rPr>
                                  <w:rStyle w:val="InternetLink"/>
                                </w:rPr>
                                <w:t xml:space="preserve"> SEC F</w:t>
                              </w:r>
                            </w:hyperlink>
                            <w:hyperlink w:anchor="toc849638_90">
                              <w:r>
                                <w:rPr>
                                  <w:rStyle w:val="InternetLink"/>
                                  <w:sz w:val="20"/>
                                  <w:u w:val="single"/>
                                </w:rPr>
                                <w:t>ILINGS</w:t>
                              </w:r>
                            </w:hyperlink>
                            <w:hyperlink w:anchor="toc849638_90">
                              <w:r>
                                <w:rPr>
                                  <w:rStyle w:val="InternetLink"/>
                                </w:rPr>
                                <w:t xml:space="preserve"> </w:t>
                              </w:r>
                            </w:hyperlink>
                            <w:hyperlink w:anchor="toc849638_90">
                              <w:r>
                                <w:rPr>
                                  <w:rStyle w:val="InternetLink"/>
                                  <w:sz w:val="20"/>
                                  <w:u w:val="single"/>
                                </w:rPr>
                                <w:t>AND</w:t>
                              </w:r>
                            </w:hyperlink>
                            <w:hyperlink w:anchor="toc849638_90">
                              <w:r>
                                <w:rPr>
                                  <w:rStyle w:val="InternetLink"/>
                                </w:rPr>
                                <w:t xml:space="preserve"> C</w:t>
                              </w:r>
                            </w:hyperlink>
                            <w:hyperlink w:anchor="toc849638_90">
                              <w:r>
                                <w:rPr>
                                  <w:rStyle w:val="InternetLink"/>
                                  <w:sz w:val="20"/>
                                  <w:u w:val="single"/>
                                </w:rPr>
                                <w:t>ORPORATE</w:t>
                              </w:r>
                            </w:hyperlink>
                            <w:hyperlink w:anchor="toc849638_90">
                              <w:r>
                                <w:rPr>
                                  <w:rStyle w:val="InternetLink"/>
                                </w:rPr>
                                <w:t xml:space="preserve"> G</w:t>
                              </w:r>
                            </w:hyperlink>
                            <w:hyperlink w:anchor="toc849638_90">
                              <w:r>
                                <w:rPr>
                                  <w:rStyle w:val="InternetLink"/>
                                  <w:sz w:val="20"/>
                                  <w:u w:val="single"/>
                                </w:rPr>
                                <w:t>OVERNANCE</w:t>
                              </w:r>
                            </w:hyperlink>
                            <w:hyperlink w:anchor="toc849638_90">
                              <w:r>
                                <w:rPr>
                                  <w:rStyle w:val="InternetLink"/>
                                </w:rPr>
                                <w:t xml:space="preserve"> D</w:t>
                              </w:r>
                            </w:hyperlink>
                            <w:hyperlink w:anchor="toc849638_90">
                              <w:r>
                                <w:rPr>
                                  <w:rStyle w:val="InternetLink"/>
                                  <w:sz w:val="20"/>
                                  <w:u w:val="single"/>
                                </w:rPr>
                                <w:t>OCUMENTS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87</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1">
                              <w:r>
                                <w:rPr>
                                  <w:rStyle w:val="InternetLink"/>
                                </w:rPr>
                                <w:t>U</w:t>
                              </w:r>
                            </w:hyperlink>
                            <w:hyperlink w:anchor="toc849638_91">
                              <w:r>
                                <w:rPr>
                                  <w:rStyle w:val="InternetLink"/>
                                  <w:sz w:val="20"/>
                                  <w:u w:val="single"/>
                                </w:rPr>
                                <w:t>SE</w:t>
                              </w:r>
                            </w:hyperlink>
                            <w:hyperlink w:anchor="toc849638_91">
                              <w:r>
                                <w:rPr>
                                  <w:rStyle w:val="InternetLink"/>
                                </w:rPr>
                                <w:t xml:space="preserve"> </w:t>
                              </w:r>
                            </w:hyperlink>
                            <w:hyperlink w:anchor="toc849638_91">
                              <w:r>
                                <w:rPr>
                                  <w:rStyle w:val="InternetLink"/>
                                  <w:sz w:val="20"/>
                                  <w:u w:val="single"/>
                                </w:rPr>
                                <w:t>OF</w:t>
                              </w:r>
                            </w:hyperlink>
                            <w:hyperlink w:anchor="toc849638_91">
                              <w:r>
                                <w:rPr>
                                  <w:rStyle w:val="InternetLink"/>
                                </w:rPr>
                                <w:t xml:space="preserve"> N</w:t>
                              </w:r>
                            </w:hyperlink>
                            <w:hyperlink w:anchor="toc849638_91">
                              <w:r>
                                <w:rPr>
                                  <w:rStyle w:val="InternetLink"/>
                                  <w:sz w:val="20"/>
                                  <w:u w:val="single"/>
                                </w:rPr>
                                <w:t>ON</w:t>
                              </w:r>
                            </w:hyperlink>
                            <w:hyperlink w:anchor="toc849638_91">
                              <w:r>
                                <w:rPr>
                                  <w:rStyle w:val="InternetLink"/>
                                </w:rPr>
                                <w:t>-GAAP F</w:t>
                              </w:r>
                            </w:hyperlink>
                            <w:hyperlink w:anchor="toc849638_91">
                              <w:r>
                                <w:rPr>
                                  <w:rStyle w:val="InternetLink"/>
                                  <w:sz w:val="20"/>
                                  <w:u w:val="single"/>
                                </w:rPr>
                                <w:t>INANCIAL</w:t>
                              </w:r>
                            </w:hyperlink>
                            <w:hyperlink w:anchor="toc849638_91">
                              <w:r>
                                <w:rPr>
                                  <w:rStyle w:val="InternetLink"/>
                                </w:rPr>
                                <w:t xml:space="preserve"> M</w:t>
                              </w:r>
                            </w:hyperlink>
                            <w:hyperlink w:anchor="toc849638_91">
                              <w:r>
                                <w:rPr>
                                  <w:rStyle w:val="InternetLink"/>
                                  <w:sz w:val="20"/>
                                  <w:u w:val="single"/>
                                </w:rPr>
                                <w:t>EASURES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87</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2">
                              <w:r>
                                <w:rPr>
                                  <w:rStyle w:val="InternetLink"/>
                                  <w:b/>
                                  <w:color w:val="1070B8"/>
                                </w:rPr>
                                <w:t>MEETING AND VOTING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88</w:t>
                            </w:r>
                          </w:p>
                        </w:tc>
                        <w:tc>
                          <w:tcPr>
                            <w:tcW w:w="75" w:type="dxa"/>
                            <w:tcBorders/>
                            <w:vAlign w:val="center"/>
                          </w:tcPr>
                          <w:p>
                            <w:pPr>
                              <w:pStyle w:val="TableContents"/>
                              <w:bidi w:val="0"/>
                              <w:spacing w:before="0" w:after="283"/>
                              <w:jc w:val="left"/>
                              <w:rPr>
                                <w:color w:val="1070B8"/>
                              </w:rPr>
                            </w:pPr>
                            <w:r>
                              <w:rPr>
                                <w:color w:val="1070B8"/>
                              </w:rPr>
                              <w:t> </w:t>
                            </w:r>
                          </w:p>
                        </w:tc>
                      </w:tr>
                      <w:tr>
                        <w:trPr/>
                        <w:tc>
                          <w:tcPr>
                            <w:tcW w:w="7865" w:type="dxa"/>
                            <w:tcBorders/>
                            <w:vAlign w:val="center"/>
                          </w:tcPr>
                          <w:p>
                            <w:pPr>
                              <w:pStyle w:val="TableContents"/>
                              <w:bidi w:val="0"/>
                              <w:spacing w:before="0" w:after="283"/>
                              <w:jc w:val="left"/>
                              <w:rPr/>
                            </w:pPr>
                            <w:hyperlink w:anchor="toc849638_93">
                              <w:r>
                                <w:rPr>
                                  <w:rStyle w:val="InternetLink"/>
                                </w:rPr>
                                <w:t>A</w:t>
                              </w:r>
                            </w:hyperlink>
                            <w:hyperlink w:anchor="toc849638_93">
                              <w:r>
                                <w:rPr>
                                  <w:rStyle w:val="InternetLink"/>
                                  <w:sz w:val="20"/>
                                  <w:u w:val="single"/>
                                </w:rPr>
                                <w:t>TTENDING</w:t>
                              </w:r>
                            </w:hyperlink>
                            <w:hyperlink w:anchor="toc849638_93">
                              <w:r>
                                <w:rPr>
                                  <w:rStyle w:val="InternetLink"/>
                                </w:rPr>
                                <w:t xml:space="preserve"> </w:t>
                              </w:r>
                            </w:hyperlink>
                            <w:hyperlink w:anchor="toc849638_93">
                              <w:r>
                                <w:rPr>
                                  <w:rStyle w:val="InternetLink"/>
                                  <w:sz w:val="20"/>
                                  <w:u w:val="single"/>
                                </w:rPr>
                                <w:t>THE</w:t>
                              </w:r>
                            </w:hyperlink>
                            <w:hyperlink w:anchor="toc849638_93">
                              <w:r>
                                <w:rPr>
                                  <w:rStyle w:val="InternetLink"/>
                                </w:rPr>
                                <w:t xml:space="preserve"> A</w:t>
                              </w:r>
                            </w:hyperlink>
                            <w:hyperlink w:anchor="toc849638_93">
                              <w:r>
                                <w:rPr>
                                  <w:rStyle w:val="InternetLink"/>
                                  <w:sz w:val="20"/>
                                  <w:u w:val="single"/>
                                </w:rPr>
                                <w:t>NNUAL</w:t>
                              </w:r>
                            </w:hyperlink>
                            <w:hyperlink w:anchor="toc849638_93">
                              <w:r>
                                <w:rPr>
                                  <w:rStyle w:val="InternetLink"/>
                                </w:rPr>
                                <w:t xml:space="preserve"> M</w:t>
                              </w:r>
                            </w:hyperlink>
                            <w:hyperlink w:anchor="toc849638_93">
                              <w:r>
                                <w:rPr>
                                  <w:rStyle w:val="InternetLink"/>
                                  <w:sz w:val="20"/>
                                  <w:u w:val="single"/>
                                </w:rPr>
                                <w:t>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4">
                              <w:r>
                                <w:rPr>
                                  <w:rStyle w:val="InternetLink"/>
                                </w:rPr>
                                <w:t>W</w:t>
                              </w:r>
                            </w:hyperlink>
                            <w:hyperlink w:anchor="toc849638_94">
                              <w:r>
                                <w:rPr>
                                  <w:rStyle w:val="InternetLink"/>
                                  <w:sz w:val="20"/>
                                  <w:u w:val="single"/>
                                </w:rPr>
                                <w:t>HO</w:t>
                              </w:r>
                            </w:hyperlink>
                            <w:hyperlink w:anchor="toc849638_94">
                              <w:r>
                                <w:rPr>
                                  <w:rStyle w:val="InternetLink"/>
                                </w:rPr>
                                <w:t xml:space="preserve"> </w:t>
                              </w:r>
                            </w:hyperlink>
                            <w:hyperlink w:anchor="toc849638_94">
                              <w:r>
                                <w:rPr>
                                  <w:rStyle w:val="InternetLink"/>
                                  <w:sz w:val="20"/>
                                  <w:u w:val="single"/>
                                </w:rPr>
                                <w:t>IS</w:t>
                              </w:r>
                            </w:hyperlink>
                            <w:hyperlink w:anchor="toc849638_94">
                              <w:r>
                                <w:rPr>
                                  <w:rStyle w:val="InternetLink"/>
                                </w:rPr>
                                <w:t xml:space="preserve"> E</w:t>
                              </w:r>
                            </w:hyperlink>
                            <w:hyperlink w:anchor="toc849638_94">
                              <w:r>
                                <w:rPr>
                                  <w:rStyle w:val="InternetLink"/>
                                  <w:sz w:val="20"/>
                                  <w:u w:val="single"/>
                                </w:rPr>
                                <w:t>NTITLED</w:t>
                              </w:r>
                            </w:hyperlink>
                            <w:hyperlink w:anchor="toc849638_94">
                              <w:r>
                                <w:rPr>
                                  <w:rStyle w:val="InternetLink"/>
                                </w:rPr>
                                <w:t xml:space="preserve"> </w:t>
                              </w:r>
                            </w:hyperlink>
                            <w:hyperlink w:anchor="toc849638_94">
                              <w:r>
                                <w:rPr>
                                  <w:rStyle w:val="InternetLink"/>
                                  <w:sz w:val="20"/>
                                  <w:u w:val="single"/>
                                </w:rPr>
                                <w:t>TO</w:t>
                              </w:r>
                            </w:hyperlink>
                            <w:hyperlink w:anchor="toc849638_94">
                              <w:r>
                                <w:rPr>
                                  <w:rStyle w:val="InternetLink"/>
                                </w:rPr>
                                <w:t xml:space="preserve"> V</w:t>
                              </w:r>
                            </w:hyperlink>
                            <w:hyperlink w:anchor="toc849638_94">
                              <w:r>
                                <w:rPr>
                                  <w:rStyle w:val="InternetLink"/>
                                  <w:sz w:val="20"/>
                                  <w:u w:val="single"/>
                                </w:rPr>
                                <w:t>OTE</w:t>
                              </w:r>
                            </w:hyperlink>
                            <w:hyperlink w:anchor="toc849638_94">
                              <w:r>
                                <w:rPr>
                                  <w:rStyle w:val="InternetLink"/>
                                </w:rPr>
                                <w:t>; Q</w:t>
                              </w:r>
                            </w:hyperlink>
                            <w:hyperlink w:anchor="toc849638_94">
                              <w:r>
                                <w:rPr>
                                  <w:rStyle w:val="InternetLink"/>
                                  <w:sz w:val="20"/>
                                  <w:u w:val="single"/>
                                </w:rPr>
                                <w:t>UORUM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5">
                              <w:r>
                                <w:rPr>
                                  <w:rStyle w:val="InternetLink"/>
                                </w:rPr>
                                <w:t>H</w:t>
                              </w:r>
                            </w:hyperlink>
                            <w:hyperlink w:anchor="toc849638_95">
                              <w:r>
                                <w:rPr>
                                  <w:rStyle w:val="InternetLink"/>
                                  <w:sz w:val="20"/>
                                  <w:u w:val="single"/>
                                </w:rPr>
                                <w:t>OW</w:t>
                              </w:r>
                            </w:hyperlink>
                            <w:hyperlink w:anchor="toc849638_95">
                              <w:r>
                                <w:rPr>
                                  <w:rStyle w:val="InternetLink"/>
                                </w:rPr>
                                <w:t xml:space="preserve"> </w:t>
                              </w:r>
                            </w:hyperlink>
                            <w:hyperlink w:anchor="toc849638_95">
                              <w:r>
                                <w:rPr>
                                  <w:rStyle w:val="InternetLink"/>
                                  <w:sz w:val="20"/>
                                  <w:u w:val="single"/>
                                </w:rPr>
                                <w:t>TO</w:t>
                              </w:r>
                            </w:hyperlink>
                            <w:hyperlink w:anchor="toc849638_95">
                              <w:r>
                                <w:rPr>
                                  <w:rStyle w:val="InternetLink"/>
                                </w:rPr>
                                <w:t xml:space="preserve"> V</w:t>
                              </w:r>
                            </w:hyperlink>
                            <w:hyperlink w:anchor="toc849638_95">
                              <w:r>
                                <w:rPr>
                                  <w:rStyle w:val="InternetLink"/>
                                  <w:sz w:val="20"/>
                                  <w:u w:val="single"/>
                                </w:rPr>
                                <w:t>OTE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89</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6">
                              <w:r>
                                <w:rPr>
                                  <w:rStyle w:val="InternetLink"/>
                                </w:rPr>
                                <w:t>R</w:t>
                              </w:r>
                            </w:hyperlink>
                            <w:hyperlink w:anchor="toc849638_96">
                              <w:r>
                                <w:rPr>
                                  <w:rStyle w:val="InternetLink"/>
                                  <w:sz w:val="20"/>
                                  <w:u w:val="single"/>
                                </w:rPr>
                                <w:t>EVOKING</w:t>
                              </w:r>
                            </w:hyperlink>
                            <w:hyperlink w:anchor="toc849638_96">
                              <w:r>
                                <w:rPr>
                                  <w:rStyle w:val="InternetLink"/>
                                </w:rPr>
                                <w:t xml:space="preserve"> </w:t>
                              </w:r>
                            </w:hyperlink>
                            <w:hyperlink w:anchor="toc849638_96">
                              <w:r>
                                <w:rPr>
                                  <w:rStyle w:val="InternetLink"/>
                                  <w:sz w:val="20"/>
                                  <w:u w:val="single"/>
                                </w:rPr>
                                <w:t>YOUR</w:t>
                              </w:r>
                            </w:hyperlink>
                            <w:hyperlink w:anchor="toc849638_96">
                              <w:r>
                                <w:rPr>
                                  <w:rStyle w:val="InternetLink"/>
                                </w:rPr>
                                <w:t xml:space="preserve"> P</w:t>
                              </w:r>
                            </w:hyperlink>
                            <w:hyperlink w:anchor="toc849638_96">
                              <w:r>
                                <w:rPr>
                                  <w:rStyle w:val="InternetLink"/>
                                  <w:sz w:val="20"/>
                                  <w:u w:val="single"/>
                                </w:rPr>
                                <w:t>ROXY</w:t>
                              </w:r>
                            </w:hyperlink>
                            <w:hyperlink w:anchor="toc849638_96">
                              <w:r>
                                <w:rPr>
                                  <w:rStyle w:val="InternetLink"/>
                                </w:rPr>
                                <w:t xml:space="preserve"> </w:t>
                              </w:r>
                            </w:hyperlink>
                            <w:hyperlink w:anchor="toc849638_96">
                              <w:r>
                                <w:rPr>
                                  <w:rStyle w:val="InternetLink"/>
                                  <w:sz w:val="20"/>
                                  <w:u w:val="single"/>
                                </w:rPr>
                                <w:t>OR</w:t>
                              </w:r>
                            </w:hyperlink>
                            <w:hyperlink w:anchor="toc849638_96">
                              <w:r>
                                <w:rPr>
                                  <w:rStyle w:val="InternetLink"/>
                                </w:rPr>
                                <w:t xml:space="preserve"> C</w:t>
                              </w:r>
                            </w:hyperlink>
                            <w:hyperlink w:anchor="toc849638_96">
                              <w:r>
                                <w:rPr>
                                  <w:rStyle w:val="InternetLink"/>
                                  <w:sz w:val="20"/>
                                  <w:u w:val="single"/>
                                </w:rPr>
                                <w:t>HANGING</w:t>
                              </w:r>
                            </w:hyperlink>
                            <w:hyperlink w:anchor="toc849638_96">
                              <w:r>
                                <w:rPr>
                                  <w:rStyle w:val="InternetLink"/>
                                </w:rPr>
                                <w:t xml:space="preserve"> </w:t>
                              </w:r>
                            </w:hyperlink>
                            <w:hyperlink w:anchor="toc849638_96">
                              <w:r>
                                <w:rPr>
                                  <w:rStyle w:val="InternetLink"/>
                                  <w:sz w:val="20"/>
                                  <w:u w:val="single"/>
                                </w:rPr>
                                <w:t>YOUR</w:t>
                              </w:r>
                            </w:hyperlink>
                            <w:hyperlink w:anchor="toc849638_96">
                              <w:r>
                                <w:rPr>
                                  <w:rStyle w:val="InternetLink"/>
                                </w:rPr>
                                <w:t xml:space="preserve"> V</w:t>
                              </w:r>
                            </w:hyperlink>
                            <w:hyperlink w:anchor="toc849638_96">
                              <w:r>
                                <w:rPr>
                                  <w:rStyle w:val="InternetLink"/>
                                  <w:sz w:val="20"/>
                                  <w:u w:val="single"/>
                                </w:rPr>
                                <w:t>OTE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7">
                              <w:r>
                                <w:rPr>
                                  <w:rStyle w:val="InternetLink"/>
                                </w:rPr>
                                <w:t>V</w:t>
                              </w:r>
                            </w:hyperlink>
                            <w:hyperlink w:anchor="toc849638_97">
                              <w:r>
                                <w:rPr>
                                  <w:rStyle w:val="InternetLink"/>
                                  <w:sz w:val="20"/>
                                  <w:u w:val="single"/>
                                </w:rPr>
                                <w:t>OTES</w:t>
                              </w:r>
                            </w:hyperlink>
                            <w:hyperlink w:anchor="toc849638_97">
                              <w:r>
                                <w:rPr>
                                  <w:rStyle w:val="InternetLink"/>
                                </w:rPr>
                                <w:t xml:space="preserve"> R</w:t>
                              </w:r>
                            </w:hyperlink>
                            <w:hyperlink w:anchor="toc849638_97">
                              <w:r>
                                <w:rPr>
                                  <w:rStyle w:val="InternetLink"/>
                                  <w:sz w:val="20"/>
                                  <w:u w:val="single"/>
                                </w:rPr>
                                <w:t>EQUIRED</w:t>
                              </w:r>
                            </w:hyperlink>
                            <w:hyperlink w:anchor="toc849638_97">
                              <w:r>
                                <w:rPr>
                                  <w:rStyle w:val="InternetLink"/>
                                </w:rPr>
                                <w:t xml:space="preserve"> </w:t>
                              </w:r>
                            </w:hyperlink>
                            <w:hyperlink w:anchor="toc849638_97">
                              <w:r>
                                <w:rPr>
                                  <w:rStyle w:val="InternetLink"/>
                                  <w:sz w:val="20"/>
                                  <w:u w:val="single"/>
                                </w:rPr>
                                <w:t>TO</w:t>
                              </w:r>
                            </w:hyperlink>
                            <w:hyperlink w:anchor="toc849638_97">
                              <w:r>
                                <w:rPr>
                                  <w:rStyle w:val="InternetLink"/>
                                </w:rPr>
                                <w:t xml:space="preserve"> A</w:t>
                              </w:r>
                            </w:hyperlink>
                            <w:hyperlink w:anchor="toc849638_97">
                              <w:r>
                                <w:rPr>
                                  <w:rStyle w:val="InternetLink"/>
                                  <w:sz w:val="20"/>
                                  <w:u w:val="single"/>
                                </w:rPr>
                                <w:t>PPROVE</w:t>
                              </w:r>
                            </w:hyperlink>
                            <w:hyperlink w:anchor="toc849638_97">
                              <w:r>
                                <w:rPr>
                                  <w:rStyle w:val="InternetLink"/>
                                </w:rPr>
                                <w:t xml:space="preserve"> </w:t>
                              </w:r>
                            </w:hyperlink>
                            <w:hyperlink w:anchor="toc849638_97">
                              <w:r>
                                <w:rPr>
                                  <w:rStyle w:val="InternetLink"/>
                                  <w:sz w:val="20"/>
                                  <w:u w:val="single"/>
                                </w:rPr>
                                <w:t>EACH</w:t>
                              </w:r>
                            </w:hyperlink>
                            <w:hyperlink w:anchor="toc849638_97">
                              <w:r>
                                <w:rPr>
                                  <w:rStyle w:val="InternetLink"/>
                                </w:rPr>
                                <w:t xml:space="preserve"> P</w:t>
                              </w:r>
                            </w:hyperlink>
                            <w:hyperlink w:anchor="toc849638_97">
                              <w:r>
                                <w:rPr>
                                  <w:rStyle w:val="InternetLink"/>
                                  <w:sz w:val="20"/>
                                  <w:u w:val="single"/>
                                </w:rPr>
                                <w:t>ROPOSAL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8">
                              <w:r>
                                <w:rPr>
                                  <w:rStyle w:val="InternetLink"/>
                                </w:rPr>
                                <w:t>V</w:t>
                              </w:r>
                            </w:hyperlink>
                            <w:hyperlink w:anchor="toc849638_98">
                              <w:r>
                                <w:rPr>
                                  <w:rStyle w:val="InternetLink"/>
                                  <w:sz w:val="20"/>
                                  <w:u w:val="single"/>
                                </w:rPr>
                                <w:t>OTING</w:t>
                              </w:r>
                            </w:hyperlink>
                            <w:hyperlink w:anchor="toc849638_98">
                              <w:r>
                                <w:rPr>
                                  <w:rStyle w:val="InternetLink"/>
                                </w:rPr>
                                <w:t xml:space="preserve"> R</w:t>
                              </w:r>
                            </w:hyperlink>
                            <w:hyperlink w:anchor="toc849638_98">
                              <w:r>
                                <w:rPr>
                                  <w:rStyle w:val="InternetLink"/>
                                  <w:sz w:val="20"/>
                                  <w:u w:val="single"/>
                                </w:rPr>
                                <w:t>ESULTS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hyperlink w:anchor="toc849638_99">
                              <w:r>
                                <w:rPr>
                                  <w:rStyle w:val="InternetLink"/>
                                  <w:b/>
                                  <w:color w:val="1070B8"/>
                                </w:rPr>
                                <w:t>OTHER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070B8"/>
                              </w:rPr>
                            </w:pPr>
                            <w:r>
                              <w:rPr>
                                <w:color w:val="1070B8"/>
                              </w:rPr>
                              <w:t> </w:t>
                            </w:r>
                          </w:p>
                        </w:tc>
                        <w:tc>
                          <w:tcPr>
                            <w:tcW w:w="260" w:type="dxa"/>
                            <w:tcBorders/>
                            <w:vAlign w:val="center"/>
                          </w:tcPr>
                          <w:p>
                            <w:pPr>
                              <w:pStyle w:val="TableContents"/>
                              <w:bidi w:val="0"/>
                              <w:spacing w:before="0" w:after="283"/>
                              <w:jc w:val="right"/>
                              <w:rPr>
                                <w:b/>
                                <w:color w:val="1070B8"/>
                              </w:rPr>
                            </w:pPr>
                            <w:r>
                              <w:rPr>
                                <w:b/>
                                <w:color w:val="1070B8"/>
                              </w:rPr>
                              <w:t>91</w:t>
                            </w:r>
                          </w:p>
                        </w:tc>
                        <w:tc>
                          <w:tcPr>
                            <w:tcW w:w="75" w:type="dxa"/>
                            <w:tcBorders/>
                            <w:vAlign w:val="center"/>
                          </w:tcPr>
                          <w:p>
                            <w:pPr>
                              <w:pStyle w:val="TableContents"/>
                              <w:bidi w:val="0"/>
                              <w:spacing w:before="0" w:after="283"/>
                              <w:jc w:val="left"/>
                              <w:rPr>
                                <w:color w:val="1070B8"/>
                              </w:rPr>
                            </w:pPr>
                            <w:r>
                              <w:rPr>
                                <w:color w:val="1070B8"/>
                              </w:rPr>
                              <w:t> </w:t>
                            </w:r>
                          </w:p>
                        </w:tc>
                      </w:tr>
                    </w:tbl>
                    <w:p>
                      <w:pPr>
                        <w:pStyle w:val="TextBody"/>
                        <w:bidi w:val="0"/>
                        <w:spacing w:before="0" w:after="283"/>
                        <w:jc w:val="left"/>
                        <w:rPr/>
                      </w:pPr>
                      <w:r>
                        <w:rPr/>
                      </w:r>
                    </w:p>
                  </w:txbxContent>
                </v:textbox>
                <w10:wrap type="square" side="right"/>
              </v:rect>
            </w:pict>
          </mc:Fallback>
        </mc:AlternateContent>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r>
        <w:rPr>
          <w:rFonts w:ascii="Times New Roman" w:hAnsi="Times New Roman"/>
          <w:b/>
          <w:color w:val="1070B8"/>
          <w:sz w:val="44"/>
        </w:rPr>
        <w:t xml:space="preserve">Notice of 2025 Annual Meeting of Stockholders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76"/>
        <w:gridCol w:w="60"/>
        <w:gridCol w:w="8769"/>
      </w:tblGrid>
      <w:tr>
        <w:trPr/>
        <w:tc>
          <w:tcPr>
            <w:tcW w:w="13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69"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B8D4EA" w:val="clear"/>
            <w:vAlign w:val="center"/>
          </w:tcPr>
          <w:p>
            <w:pPr>
              <w:pStyle w:val="TableContents"/>
              <w:bidi w:val="0"/>
              <w:spacing w:before="0" w:after="283"/>
              <w:jc w:val="left"/>
              <w:rPr>
                <w:sz w:val="4"/>
                <w:szCs w:val="4"/>
              </w:rPr>
            </w:pPr>
            <w:r>
              <w:rPr>
                <w:sz w:val="4"/>
                <w:szCs w:val="4"/>
              </w:rPr>
            </w:r>
          </w:p>
        </w:tc>
        <w:tc>
          <w:tcPr>
            <w:tcW w:w="8829" w:type="dxa"/>
            <w:gridSpan w:val="2"/>
            <w:tcBorders/>
            <w:vAlign w:val="center"/>
          </w:tcPr>
          <w:p>
            <w:pPr>
              <w:pStyle w:val="TableContents"/>
              <w:bidi w:val="0"/>
              <w:spacing w:before="0" w:after="283"/>
              <w:jc w:val="left"/>
              <w:rPr>
                <w:sz w:val="4"/>
                <w:szCs w:val="4"/>
              </w:rPr>
            </w:pPr>
            <w:r>
              <w:rPr>
                <w:sz w:val="4"/>
                <w:szCs w:val="4"/>
              </w:rPr>
            </w:r>
          </w:p>
        </w:tc>
      </w:tr>
      <w:tr>
        <w:trPr/>
        <w:tc>
          <w:tcPr>
            <w:tcW w:w="1376" w:type="dxa"/>
            <w:tcBorders>
              <w:bottom w:val="single" w:sz="12" w:space="0" w:color="1070B8"/>
            </w:tcBorders>
            <w:shd w:fill="B8D4EA" w:val="clear"/>
            <w:tcMar>
              <w:bottom w:w="28" w:type="dxa"/>
            </w:tcMar>
            <w:vAlign w:val="center"/>
          </w:tcPr>
          <w:p>
            <w:pPr>
              <w:pStyle w:val="TableContents"/>
              <w:bidi w:val="0"/>
              <w:spacing w:before="0" w:after="0"/>
              <w:jc w:val="left"/>
              <w:rPr>
                <w:rFonts w:ascii="arial" w:hAnsi="arial"/>
                <w:b/>
                <w:color w:val="1F295C"/>
                <w:sz w:val="22"/>
              </w:rPr>
            </w:pPr>
            <w:r>
              <w:rPr>
                <w:rFonts w:ascii="arial" w:hAnsi="arial"/>
                <w:b/>
                <w:color w:val="1F295C"/>
                <w:sz w:val="22"/>
              </w:rPr>
              <w:t>Date and Time</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8769" w:type="dxa"/>
            <w:tcBorders>
              <w:bottom w:val="single" w:sz="12" w:space="0" w:color="1070B8"/>
            </w:tcBorders>
            <w:tcMar>
              <w:bottom w:w="28" w:type="dxa"/>
            </w:tcMar>
            <w:vAlign w:val="center"/>
          </w:tcPr>
          <w:p>
            <w:pPr>
              <w:pStyle w:val="TableContents"/>
              <w:bidi w:val="0"/>
              <w:spacing w:before="0" w:after="0"/>
              <w:jc w:val="left"/>
              <w:rPr>
                <w:rFonts w:ascii="arial" w:hAnsi="arial"/>
                <w:sz w:val="22"/>
              </w:rPr>
            </w:pPr>
            <w:r>
              <w:rPr>
                <w:rFonts w:ascii="arial" w:hAnsi="arial"/>
                <w:sz w:val="22"/>
              </w:rPr>
              <w:t>May 20, 2025 10 a.m. Eastern Time</w:t>
            </w:r>
          </w:p>
        </w:tc>
      </w:tr>
      <w:tr>
        <w:trPr/>
        <w:tc>
          <w:tcPr>
            <w:tcW w:w="1376" w:type="dxa"/>
            <w:tcBorders/>
            <w:shd w:fill="B8D4EA" w:val="clear"/>
            <w:vAlign w:val="center"/>
          </w:tcPr>
          <w:p>
            <w:pPr>
              <w:pStyle w:val="TableContents"/>
              <w:bidi w:val="0"/>
              <w:spacing w:before="0" w:after="283"/>
              <w:jc w:val="left"/>
              <w:rPr>
                <w:sz w:val="4"/>
                <w:szCs w:val="4"/>
              </w:rPr>
            </w:pPr>
            <w:r>
              <w:rPr>
                <w:sz w:val="4"/>
                <w:szCs w:val="4"/>
              </w:rPr>
            </w:r>
          </w:p>
        </w:tc>
        <w:tc>
          <w:tcPr>
            <w:tcW w:w="8829" w:type="dxa"/>
            <w:gridSpan w:val="2"/>
            <w:tcBorders/>
            <w:vAlign w:val="center"/>
          </w:tcPr>
          <w:p>
            <w:pPr>
              <w:pStyle w:val="TableContents"/>
              <w:bidi w:val="0"/>
              <w:spacing w:before="0" w:after="283"/>
              <w:jc w:val="left"/>
              <w:rPr>
                <w:sz w:val="4"/>
                <w:szCs w:val="4"/>
              </w:rPr>
            </w:pPr>
            <w:r>
              <w:rPr>
                <w:sz w:val="4"/>
                <w:szCs w:val="4"/>
              </w:rPr>
            </w:r>
          </w:p>
        </w:tc>
      </w:tr>
      <w:tr>
        <w:trPr/>
        <w:tc>
          <w:tcPr>
            <w:tcW w:w="1376" w:type="dxa"/>
            <w:tcBorders>
              <w:bottom w:val="single" w:sz="12" w:space="0" w:color="1070B8"/>
            </w:tcBorders>
            <w:shd w:fill="B8D4EA" w:val="clear"/>
            <w:tcMar>
              <w:bottom w:w="60" w:type="dxa"/>
            </w:tcMar>
            <w:vAlign w:val="center"/>
          </w:tcPr>
          <w:p>
            <w:pPr>
              <w:pStyle w:val="TableContents"/>
              <w:bidi w:val="0"/>
              <w:spacing w:before="0" w:after="0"/>
              <w:jc w:val="left"/>
              <w:rPr>
                <w:rFonts w:ascii="arial" w:hAnsi="arial"/>
                <w:b/>
                <w:color w:val="1F295C"/>
                <w:sz w:val="22"/>
              </w:rPr>
            </w:pPr>
            <w:r>
              <w:rPr>
                <w:rFonts w:ascii="arial" w:hAnsi="arial"/>
                <w:b/>
                <w:color w:val="1F295C"/>
                <w:sz w:val="22"/>
              </w:rPr>
              <w:t>Virtual Meeting Audio</w:t>
            </w:r>
          </w:p>
          <w:p>
            <w:pPr>
              <w:pStyle w:val="TableContents"/>
              <w:bidi w:val="0"/>
              <w:spacing w:before="0" w:after="20"/>
              <w:jc w:val="left"/>
              <w:rPr>
                <w:rFonts w:ascii="arial" w:hAnsi="arial"/>
                <w:b/>
                <w:color w:val="1F295C"/>
                <w:sz w:val="22"/>
              </w:rPr>
            </w:pPr>
            <w:r>
              <w:rPr>
                <w:rFonts w:ascii="arial" w:hAnsi="arial"/>
                <w:b/>
                <w:color w:val="1F295C"/>
                <w:sz w:val="22"/>
              </w:rPr>
              <w:t>Webcast</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8769" w:type="dxa"/>
            <w:tcBorders>
              <w:bottom w:val="single" w:sz="12" w:space="0" w:color="1070B8"/>
            </w:tcBorders>
            <w:tcMar>
              <w:bottom w:w="60" w:type="dxa"/>
            </w:tcMar>
            <w:vAlign w:val="center"/>
          </w:tcPr>
          <w:p>
            <w:pPr>
              <w:pStyle w:val="TableContents"/>
              <w:bidi w:val="0"/>
              <w:spacing w:before="0" w:after="0"/>
              <w:jc w:val="left"/>
              <w:rPr>
                <w:rFonts w:ascii="arial" w:hAnsi="arial"/>
                <w:color w:val="3A53A4"/>
                <w:sz w:val="22"/>
                <w:u w:val="single"/>
              </w:rPr>
            </w:pPr>
            <w:r>
              <w:rPr>
                <w:rFonts w:ascii="arial" w:hAnsi="arial"/>
                <w:color w:val="3A53A4"/>
                <w:sz w:val="22"/>
                <w:u w:val="single"/>
              </w:rPr>
              <w:t>https://meetnow.global/M4CN4WG</w:t>
            </w:r>
          </w:p>
        </w:tc>
      </w:tr>
      <w:tr>
        <w:trPr/>
        <w:tc>
          <w:tcPr>
            <w:tcW w:w="1376" w:type="dxa"/>
            <w:tcBorders/>
            <w:shd w:fill="B8D4EA" w:val="clear"/>
            <w:vAlign w:val="center"/>
          </w:tcPr>
          <w:p>
            <w:pPr>
              <w:pStyle w:val="TableContents"/>
              <w:bidi w:val="0"/>
              <w:spacing w:before="0" w:after="283"/>
              <w:jc w:val="left"/>
              <w:rPr>
                <w:sz w:val="4"/>
                <w:szCs w:val="4"/>
              </w:rPr>
            </w:pPr>
            <w:r>
              <w:rPr>
                <w:sz w:val="4"/>
                <w:szCs w:val="4"/>
              </w:rPr>
            </w:r>
          </w:p>
        </w:tc>
        <w:tc>
          <w:tcPr>
            <w:tcW w:w="8829" w:type="dxa"/>
            <w:gridSpan w:val="2"/>
            <w:tcBorders/>
            <w:vAlign w:val="center"/>
          </w:tcPr>
          <w:p>
            <w:pPr>
              <w:pStyle w:val="TableContents"/>
              <w:bidi w:val="0"/>
              <w:spacing w:before="0" w:after="283"/>
              <w:jc w:val="left"/>
              <w:rPr>
                <w:sz w:val="4"/>
                <w:szCs w:val="4"/>
              </w:rPr>
            </w:pPr>
            <w:r>
              <w:rPr>
                <w:sz w:val="4"/>
                <w:szCs w:val="4"/>
              </w:rPr>
            </w:r>
          </w:p>
        </w:tc>
      </w:tr>
      <w:tr>
        <w:trPr/>
        <w:tc>
          <w:tcPr>
            <w:tcW w:w="1376" w:type="dxa"/>
            <w:tcBorders>
              <w:bottom w:val="single" w:sz="12" w:space="0" w:color="1070B8"/>
            </w:tcBorders>
            <w:shd w:fill="B8D4EA" w:val="clear"/>
            <w:tcMar>
              <w:bottom w:w="60" w:type="dxa"/>
            </w:tcMar>
            <w:vAlign w:val="center"/>
          </w:tcPr>
          <w:p>
            <w:pPr>
              <w:pStyle w:val="TableContents"/>
              <w:bidi w:val="0"/>
              <w:spacing w:before="0" w:after="0"/>
              <w:jc w:val="left"/>
              <w:rPr>
                <w:rFonts w:ascii="arial" w:hAnsi="arial"/>
                <w:b/>
                <w:color w:val="1F295C"/>
                <w:sz w:val="22"/>
              </w:rPr>
            </w:pPr>
            <w:r>
              <w:rPr>
                <w:rFonts w:ascii="arial" w:hAnsi="arial"/>
                <w:b/>
                <w:color w:val="1F295C"/>
                <w:sz w:val="22"/>
              </w:rPr>
              <w:t>Record Date</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8769" w:type="dxa"/>
            <w:tcBorders>
              <w:bottom w:val="single" w:sz="12" w:space="0" w:color="1070B8"/>
            </w:tcBorders>
            <w:tcMar>
              <w:bottom w:w="60" w:type="dxa"/>
            </w:tcMar>
            <w:vAlign w:val="center"/>
          </w:tcPr>
          <w:p>
            <w:pPr>
              <w:pStyle w:val="TableContents"/>
              <w:bidi w:val="0"/>
              <w:spacing w:before="0" w:after="0"/>
              <w:jc w:val="left"/>
              <w:rPr>
                <w:rFonts w:ascii="arial" w:hAnsi="arial"/>
                <w:sz w:val="22"/>
              </w:rPr>
            </w:pPr>
            <w:r>
              <w:rPr>
                <w:rFonts w:ascii="arial" w:hAnsi="arial"/>
                <w:sz w:val="22"/>
              </w:rPr>
              <w:t>March 25, 2025</w:t>
            </w:r>
          </w:p>
        </w:tc>
      </w:tr>
      <w:tr>
        <w:trPr/>
        <w:tc>
          <w:tcPr>
            <w:tcW w:w="1376" w:type="dxa"/>
            <w:tcBorders/>
            <w:shd w:fill="B8D4EA" w:val="clear"/>
            <w:vAlign w:val="center"/>
          </w:tcPr>
          <w:p>
            <w:pPr>
              <w:pStyle w:val="TableContents"/>
              <w:bidi w:val="0"/>
              <w:spacing w:before="0" w:after="283"/>
              <w:jc w:val="left"/>
              <w:rPr>
                <w:sz w:val="4"/>
                <w:szCs w:val="4"/>
              </w:rPr>
            </w:pPr>
            <w:r>
              <w:rPr>
                <w:sz w:val="4"/>
                <w:szCs w:val="4"/>
              </w:rPr>
            </w:r>
          </w:p>
        </w:tc>
        <w:tc>
          <w:tcPr>
            <w:tcW w:w="8829" w:type="dxa"/>
            <w:gridSpan w:val="2"/>
            <w:tcBorders/>
            <w:vAlign w:val="center"/>
          </w:tcPr>
          <w:p>
            <w:pPr>
              <w:pStyle w:val="TableContents"/>
              <w:bidi w:val="0"/>
              <w:spacing w:before="0" w:after="283"/>
              <w:jc w:val="left"/>
              <w:rPr>
                <w:sz w:val="4"/>
                <w:szCs w:val="4"/>
              </w:rPr>
            </w:pPr>
            <w:r>
              <w:rPr>
                <w:sz w:val="4"/>
                <w:szCs w:val="4"/>
              </w:rPr>
            </w:r>
          </w:p>
        </w:tc>
      </w:tr>
      <w:tr>
        <w:trPr/>
        <w:tc>
          <w:tcPr>
            <w:tcW w:w="1376" w:type="dxa"/>
            <w:tcBorders>
              <w:bottom w:val="single" w:sz="12" w:space="0" w:color="1070B8"/>
            </w:tcBorders>
            <w:shd w:fill="B8D4EA" w:val="clear"/>
            <w:tcMar>
              <w:bottom w:w="160" w:type="dxa"/>
            </w:tcMar>
            <w:vAlign w:val="center"/>
          </w:tcPr>
          <w:p>
            <w:pPr>
              <w:pStyle w:val="TableContents"/>
              <w:bidi w:val="0"/>
              <w:spacing w:before="0" w:after="0"/>
              <w:jc w:val="left"/>
              <w:rPr>
                <w:rFonts w:ascii="arial" w:hAnsi="arial"/>
                <w:b/>
                <w:color w:val="1F295C"/>
                <w:sz w:val="22"/>
              </w:rPr>
            </w:pPr>
            <w:r>
              <w:rPr>
                <w:rFonts w:ascii="arial" w:hAnsi="arial"/>
                <w:b/>
                <w:color w:val="1F295C"/>
                <w:sz w:val="22"/>
              </w:rPr>
              <w:t>Mailing Date for</w:t>
            </w:r>
          </w:p>
          <w:p>
            <w:pPr>
              <w:pStyle w:val="TableContents"/>
              <w:bidi w:val="0"/>
              <w:spacing w:before="0" w:after="0"/>
              <w:jc w:val="left"/>
              <w:rPr>
                <w:rFonts w:ascii="arial" w:hAnsi="arial"/>
                <w:b/>
                <w:color w:val="1F295C"/>
                <w:sz w:val="22"/>
              </w:rPr>
            </w:pPr>
            <w:r>
              <w:rPr>
                <w:rFonts w:ascii="arial" w:hAnsi="arial"/>
                <w:b/>
                <w:color w:val="1F295C"/>
                <w:sz w:val="22"/>
              </w:rPr>
              <w:t>Distribution of Proxy</w:t>
            </w:r>
          </w:p>
          <w:p>
            <w:pPr>
              <w:pStyle w:val="TableContents"/>
              <w:bidi w:val="0"/>
              <w:spacing w:before="0" w:after="20"/>
              <w:jc w:val="left"/>
              <w:rPr>
                <w:rFonts w:ascii="arial" w:hAnsi="arial"/>
                <w:b/>
                <w:color w:val="1F295C"/>
                <w:sz w:val="22"/>
              </w:rPr>
            </w:pPr>
            <w:r>
              <w:rPr>
                <w:rFonts w:ascii="arial" w:hAnsi="arial"/>
                <w:b/>
                <w:color w:val="1F295C"/>
                <w:sz w:val="22"/>
              </w:rPr>
              <w:t>Materials</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8769" w:type="dxa"/>
            <w:tcBorders>
              <w:bottom w:val="single" w:sz="12" w:space="0" w:color="1070B8"/>
            </w:tcBorders>
            <w:tcMar>
              <w:bottom w:w="160" w:type="dxa"/>
            </w:tcMar>
            <w:vAlign w:val="center"/>
          </w:tcPr>
          <w:p>
            <w:pPr>
              <w:pStyle w:val="TableContents"/>
              <w:bidi w:val="0"/>
              <w:spacing w:before="0" w:after="0"/>
              <w:jc w:val="left"/>
              <w:rPr>
                <w:rFonts w:ascii="arial" w:hAnsi="arial"/>
                <w:sz w:val="22"/>
              </w:rPr>
            </w:pPr>
            <w:r>
              <w:rPr>
                <w:rFonts w:ascii="arial" w:hAnsi="arial"/>
                <w:sz w:val="22"/>
              </w:rPr>
              <w:t>On or about April 8, 2025, we will mail a Notice of Internet Availability of Proxy Materials to our stockholders of record on the record date. The notice has instructions on how to obtain internet access to our Proxy Statement and Annual Report, including our Form 10-K for the 2024 fiscal year. The notice also has instructions on how to request a paper copy of the proxy materials. We are making our proxy materials available to our stockholders electronically instead of mailing a full set of proxy materials, which allows us to provide you with the information you need in a timely manner, while reducing our impact on the environment and lowering the costs of printing and distributing our proxy materials.</w:t>
            </w:r>
          </w:p>
        </w:tc>
      </w:tr>
      <w:tr>
        <w:trPr/>
        <w:tc>
          <w:tcPr>
            <w:tcW w:w="1376" w:type="dxa"/>
            <w:tcBorders/>
            <w:shd w:fill="B8D4EA" w:val="clear"/>
            <w:vAlign w:val="center"/>
          </w:tcPr>
          <w:p>
            <w:pPr>
              <w:pStyle w:val="TableContents"/>
              <w:bidi w:val="0"/>
              <w:spacing w:before="0" w:after="283"/>
              <w:jc w:val="left"/>
              <w:rPr>
                <w:sz w:val="4"/>
                <w:szCs w:val="4"/>
              </w:rPr>
            </w:pPr>
            <w:r>
              <w:rPr>
                <w:sz w:val="4"/>
                <w:szCs w:val="4"/>
              </w:rPr>
            </w:r>
          </w:p>
        </w:tc>
        <w:tc>
          <w:tcPr>
            <w:tcW w:w="8829" w:type="dxa"/>
            <w:gridSpan w:val="2"/>
            <w:tcBorders/>
            <w:vAlign w:val="center"/>
          </w:tcPr>
          <w:p>
            <w:pPr>
              <w:pStyle w:val="TableContents"/>
              <w:bidi w:val="0"/>
              <w:spacing w:before="0" w:after="283"/>
              <w:jc w:val="left"/>
              <w:rPr>
                <w:sz w:val="4"/>
                <w:szCs w:val="4"/>
              </w:rPr>
            </w:pPr>
            <w:r>
              <w:rPr>
                <w:sz w:val="4"/>
                <w:szCs w:val="4"/>
              </w:rPr>
            </w:r>
          </w:p>
        </w:tc>
      </w:tr>
      <w:tr>
        <w:trPr/>
        <w:tc>
          <w:tcPr>
            <w:tcW w:w="1376" w:type="dxa"/>
            <w:tcBorders>
              <w:bottom w:val="single" w:sz="12" w:space="0" w:color="1070B8"/>
            </w:tcBorders>
            <w:shd w:fill="B8D4EA" w:val="clear"/>
            <w:tcMar>
              <w:bottom w:w="160" w:type="dxa"/>
            </w:tcMar>
            <w:vAlign w:val="center"/>
          </w:tcPr>
          <w:p>
            <w:pPr>
              <w:pStyle w:val="TableContents"/>
              <w:bidi w:val="0"/>
              <w:spacing w:before="0" w:after="0"/>
              <w:jc w:val="left"/>
              <w:rPr>
                <w:rFonts w:ascii="arial" w:hAnsi="arial"/>
                <w:b/>
                <w:color w:val="1F295C"/>
                <w:sz w:val="22"/>
              </w:rPr>
            </w:pPr>
            <w:r>
              <w:rPr>
                <w:rFonts w:ascii="arial" w:hAnsi="arial"/>
                <w:b/>
                <w:color w:val="1F295C"/>
                <w:sz w:val="22"/>
              </w:rPr>
              <w:t>Agenda</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8769" w:type="dxa"/>
            <w:tcBorders>
              <w:bottom w:val="single" w:sz="12" w:space="0" w:color="1070B8"/>
            </w:tcBorders>
            <w:tcMar>
              <w:bottom w:w="160" w:type="dxa"/>
            </w:tcMar>
            <w:vAlign w:val="center"/>
          </w:tcPr>
          <w:p>
            <w:pPr>
              <w:pStyle w:val="TableContents"/>
              <w:bidi w:val="0"/>
              <w:spacing w:before="0" w:after="0"/>
              <w:jc w:val="left"/>
              <w:rPr/>
            </w:pPr>
            <w:r>
              <w:rPr>
                <w:color w:val="1070B8"/>
              </w:rPr>
              <w:t>∎</w:t>
            </w:r>
            <w:r>
              <w:rPr/>
              <w:t>  </w:t>
            </w:r>
            <w:r>
              <w:rPr>
                <w:rFonts w:ascii="arial" w:hAnsi="arial"/>
                <w:sz w:val="22"/>
              </w:rPr>
              <w:t>Election of Jeffrey W. Edwards, Lawrence A. Hilsheimer and Janet E. Jackson as directors to serve for three-year terms;</w:t>
            </w:r>
          </w:p>
          <w:p>
            <w:pPr>
              <w:pStyle w:val="TableContents"/>
              <w:bidi w:val="0"/>
              <w:spacing w:before="0" w:after="0"/>
              <w:jc w:val="left"/>
              <w:rPr/>
            </w:pPr>
            <w:r>
              <w:rPr>
                <w:color w:val="1070B8"/>
              </w:rPr>
              <w:t>∎</w:t>
            </w:r>
            <w:r>
              <w:rPr/>
              <w:t>  </w:t>
            </w:r>
            <w:r>
              <w:rPr>
                <w:rFonts w:ascii="arial" w:hAnsi="arial"/>
                <w:sz w:val="22"/>
              </w:rPr>
              <w:t>Ratification of the appointment of Deloitte &amp; Touche LLP as our independent registered public accounting firm for 2025;</w:t>
            </w:r>
          </w:p>
          <w:p>
            <w:pPr>
              <w:pStyle w:val="TableContents"/>
              <w:bidi w:val="0"/>
              <w:spacing w:before="0" w:after="0"/>
              <w:jc w:val="left"/>
              <w:rPr/>
            </w:pPr>
            <w:r>
              <w:rPr>
                <w:color w:val="1070B8"/>
              </w:rPr>
              <w:t>∎</w:t>
            </w:r>
            <w:r>
              <w:rPr/>
              <w:t>  </w:t>
            </w:r>
            <w:r>
              <w:rPr>
                <w:rFonts w:ascii="arial" w:hAnsi="arial"/>
                <w:sz w:val="22"/>
              </w:rPr>
              <w:t>Approval, on an advisory basis, of the compensation of our named executive officers; and</w:t>
            </w:r>
          </w:p>
          <w:p>
            <w:pPr>
              <w:pStyle w:val="TableContents"/>
              <w:bidi w:val="0"/>
              <w:spacing w:before="0" w:after="20"/>
              <w:jc w:val="left"/>
              <w:rPr/>
            </w:pPr>
            <w:r>
              <w:rPr>
                <w:color w:val="1070B8"/>
              </w:rPr>
              <w:t>∎</w:t>
            </w:r>
            <w:r>
              <w:rPr/>
              <w:t>  </w:t>
            </w:r>
            <w:r>
              <w:rPr>
                <w:rFonts w:ascii="arial" w:hAnsi="arial"/>
                <w:sz w:val="22"/>
              </w:rPr>
              <w:t>Transaction of any other business that may properly come before the meeting or any adjournment thereof.</w:t>
            </w:r>
          </w:p>
        </w:tc>
      </w:tr>
      <w:tr>
        <w:trPr/>
        <w:tc>
          <w:tcPr>
            <w:tcW w:w="1376" w:type="dxa"/>
            <w:tcBorders/>
            <w:shd w:fill="B8D4EA" w:val="clear"/>
            <w:vAlign w:val="center"/>
          </w:tcPr>
          <w:p>
            <w:pPr>
              <w:pStyle w:val="TableContents"/>
              <w:bidi w:val="0"/>
              <w:spacing w:before="0" w:after="283"/>
              <w:jc w:val="left"/>
              <w:rPr>
                <w:sz w:val="4"/>
                <w:szCs w:val="4"/>
              </w:rPr>
            </w:pPr>
            <w:r>
              <w:rPr>
                <w:sz w:val="4"/>
                <w:szCs w:val="4"/>
              </w:rPr>
            </w:r>
          </w:p>
        </w:tc>
        <w:tc>
          <w:tcPr>
            <w:tcW w:w="8829" w:type="dxa"/>
            <w:gridSpan w:val="2"/>
            <w:tcBorders/>
            <w:vAlign w:val="center"/>
          </w:tcPr>
          <w:p>
            <w:pPr>
              <w:pStyle w:val="TableContents"/>
              <w:bidi w:val="0"/>
              <w:spacing w:before="0" w:after="283"/>
              <w:jc w:val="left"/>
              <w:rPr>
                <w:sz w:val="4"/>
                <w:szCs w:val="4"/>
              </w:rPr>
            </w:pPr>
            <w:r>
              <w:rPr>
                <w:sz w:val="4"/>
                <w:szCs w:val="4"/>
              </w:rPr>
            </w:r>
          </w:p>
        </w:tc>
      </w:tr>
      <w:tr>
        <w:trPr/>
        <w:tc>
          <w:tcPr>
            <w:tcW w:w="1376" w:type="dxa"/>
            <w:tcBorders>
              <w:bottom w:val="single" w:sz="12" w:space="0" w:color="1070B8"/>
            </w:tcBorders>
            <w:shd w:fill="B8D4EA" w:val="clear"/>
            <w:tcMar>
              <w:bottom w:w="160" w:type="dxa"/>
            </w:tcMar>
            <w:vAlign w:val="center"/>
          </w:tcPr>
          <w:p>
            <w:pPr>
              <w:pStyle w:val="TableContents"/>
              <w:bidi w:val="0"/>
              <w:spacing w:before="0" w:after="0"/>
              <w:jc w:val="left"/>
              <w:rPr>
                <w:rFonts w:ascii="arial" w:hAnsi="arial"/>
                <w:b/>
                <w:color w:val="1F295C"/>
                <w:sz w:val="22"/>
              </w:rPr>
            </w:pPr>
            <w:r>
              <w:rPr>
                <w:rFonts w:ascii="arial" w:hAnsi="arial"/>
                <w:b/>
                <w:color w:val="1F295C"/>
                <w:sz w:val="22"/>
              </w:rPr>
              <w:t>Voting</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8769" w:type="dxa"/>
            <w:tcBorders>
              <w:bottom w:val="single" w:sz="12" w:space="0" w:color="1070B8"/>
            </w:tcBorders>
            <w:tcMar>
              <w:bottom w:w="160" w:type="dxa"/>
            </w:tcMar>
            <w:vAlign w:val="center"/>
          </w:tcPr>
          <w:p>
            <w:pPr>
              <w:pStyle w:val="TableContents"/>
              <w:bidi w:val="0"/>
              <w:spacing w:before="0" w:after="0"/>
              <w:jc w:val="left"/>
              <w:rPr>
                <w:rFonts w:ascii="arial" w:hAnsi="arial"/>
                <w:sz w:val="22"/>
              </w:rPr>
            </w:pPr>
            <w:r>
              <w:rPr>
                <w:rFonts w:ascii="arial" w:hAnsi="arial"/>
                <w:sz w:val="22"/>
              </w:rPr>
              <w:t xml:space="preserve">Stockholders may vote online at </w:t>
            </w:r>
            <w:r>
              <w:rPr>
                <w:rFonts w:ascii="arial" w:hAnsi="arial"/>
                <w:color w:val="3A53A4"/>
                <w:sz w:val="22"/>
                <w:u w:val="single"/>
              </w:rPr>
              <w:t>www.envisionreports.com/IBP</w:t>
            </w:r>
            <w:r>
              <w:rPr>
                <w:rFonts w:ascii="arial" w:hAnsi="arial"/>
                <w:sz w:val="22"/>
              </w:rPr>
              <w:t xml:space="preserve"> or by phone at 1-800-652-8683, 24 hours a day, seven days a week. If you have a printed proxy card, you may vote by completing, signing, dating and returning each proxy card in the prepaid envelope provided. If you choose to vote during the 2025 Annual Meeting of Stockholders (“Annual Meeting”), follow the instructions posted at </w:t>
            </w:r>
            <w:r>
              <w:rPr>
                <w:rFonts w:ascii="arial" w:hAnsi="arial"/>
                <w:color w:val="3A53A4"/>
                <w:sz w:val="22"/>
                <w:u w:val="single"/>
              </w:rPr>
              <w:t>https://meetnow.global/M4CN4WG</w:t>
            </w:r>
            <w:r>
              <w:rPr>
                <w:rFonts w:ascii="arial" w:hAnsi="arial"/>
                <w:sz w:val="22"/>
              </w:rPr>
              <w:t>. All votes must be received no later than the closing of the polls at the Annual Meeting.</w:t>
            </w:r>
          </w:p>
        </w:tc>
      </w:tr>
      <w:tr>
        <w:trPr/>
        <w:tc>
          <w:tcPr>
            <w:tcW w:w="1376" w:type="dxa"/>
            <w:tcBorders/>
            <w:shd w:fill="B8D4EA" w:val="clear"/>
            <w:vAlign w:val="center"/>
          </w:tcPr>
          <w:p>
            <w:pPr>
              <w:pStyle w:val="TableContents"/>
              <w:bidi w:val="0"/>
              <w:spacing w:before="0" w:after="283"/>
              <w:jc w:val="left"/>
              <w:rPr>
                <w:sz w:val="4"/>
                <w:szCs w:val="4"/>
              </w:rPr>
            </w:pPr>
            <w:r>
              <w:rPr>
                <w:sz w:val="4"/>
                <w:szCs w:val="4"/>
              </w:rPr>
            </w:r>
          </w:p>
        </w:tc>
        <w:tc>
          <w:tcPr>
            <w:tcW w:w="8829" w:type="dxa"/>
            <w:gridSpan w:val="2"/>
            <w:tcBorders/>
            <w:vAlign w:val="center"/>
          </w:tcPr>
          <w:p>
            <w:pPr>
              <w:pStyle w:val="TableContents"/>
              <w:bidi w:val="0"/>
              <w:spacing w:before="0" w:after="283"/>
              <w:jc w:val="left"/>
              <w:rPr>
                <w:sz w:val="4"/>
                <w:szCs w:val="4"/>
              </w:rPr>
            </w:pPr>
            <w:r>
              <w:rPr>
                <w:sz w:val="4"/>
                <w:szCs w:val="4"/>
              </w:rPr>
            </w:r>
          </w:p>
        </w:tc>
      </w:tr>
      <w:tr>
        <w:trPr/>
        <w:tc>
          <w:tcPr>
            <w:tcW w:w="1376" w:type="dxa"/>
            <w:tcBorders/>
            <w:shd w:fill="B8D4EA" w:val="clear"/>
            <w:vAlign w:val="center"/>
          </w:tcPr>
          <w:p>
            <w:pPr>
              <w:pStyle w:val="TableContents"/>
              <w:bidi w:val="0"/>
              <w:spacing w:before="0" w:after="0"/>
              <w:jc w:val="left"/>
              <w:rPr>
                <w:rFonts w:ascii="arial" w:hAnsi="arial"/>
                <w:b/>
                <w:color w:val="1F295C"/>
                <w:sz w:val="22"/>
              </w:rPr>
            </w:pPr>
            <w:r>
              <w:rPr>
                <w:rFonts w:ascii="arial" w:hAnsi="arial"/>
                <w:b/>
                <w:color w:val="1F295C"/>
                <w:sz w:val="22"/>
              </w:rPr>
              <w:t>Meeting and Voting</w:t>
            </w:r>
          </w:p>
          <w:p>
            <w:pPr>
              <w:pStyle w:val="TableContents"/>
              <w:bidi w:val="0"/>
              <w:spacing w:before="0" w:after="20"/>
              <w:jc w:val="left"/>
              <w:rPr>
                <w:rFonts w:ascii="arial" w:hAnsi="arial"/>
                <w:b/>
                <w:color w:val="1F295C"/>
                <w:sz w:val="22"/>
              </w:rPr>
            </w:pPr>
            <w:r>
              <w:rPr>
                <w:rFonts w:ascii="arial" w:hAnsi="arial"/>
                <w:b/>
                <w:color w:val="1F295C"/>
                <w:sz w:val="22"/>
              </w:rPr>
              <w:t>Details</w:t>
            </w:r>
          </w:p>
        </w:tc>
        <w:tc>
          <w:tcPr>
            <w:tcW w:w="60" w:type="dxa"/>
            <w:tcBorders/>
            <w:vAlign w:val="center"/>
          </w:tcPr>
          <w:p>
            <w:pPr>
              <w:pStyle w:val="TableContents"/>
              <w:bidi w:val="0"/>
              <w:spacing w:before="0" w:after="283"/>
              <w:jc w:val="left"/>
              <w:rPr/>
            </w:pPr>
            <w:r>
              <w:rPr/>
              <w:t> </w:t>
            </w:r>
          </w:p>
        </w:tc>
        <w:tc>
          <w:tcPr>
            <w:tcW w:w="8769" w:type="dxa"/>
            <w:tcBorders/>
            <w:vAlign w:val="center"/>
          </w:tcPr>
          <w:p>
            <w:pPr>
              <w:pStyle w:val="TableContents"/>
              <w:bidi w:val="0"/>
              <w:spacing w:before="0" w:after="0"/>
              <w:jc w:val="left"/>
              <w:rPr>
                <w:rFonts w:ascii="arial" w:hAnsi="arial"/>
                <w:sz w:val="22"/>
              </w:rPr>
            </w:pPr>
            <w:r>
              <w:rPr>
                <w:rFonts w:ascii="arial" w:hAnsi="arial"/>
                <w:sz w:val="22"/>
              </w:rPr>
              <w:t>For more detailed information on attending and voting at the Annual Meeting, see “</w:t>
            </w:r>
            <w:r>
              <w:rPr>
                <w:rFonts w:ascii="arial" w:hAnsi="arial"/>
                <w:i/>
                <w:sz w:val="22"/>
              </w:rPr>
              <w:t>Meeting and Voting Information</w:t>
            </w:r>
            <w:r>
              <w:rPr>
                <w:rFonts w:ascii="arial" w:hAnsi="arial"/>
                <w:sz w:val="22"/>
              </w:rPr>
              <w:t>” beginning on page 88.</w:t>
            </w:r>
          </w:p>
        </w:tc>
      </w:tr>
    </w:tbl>
    <w:p>
      <w:pPr>
        <w:pStyle w:val="TextBody"/>
        <w:bidi w:val="0"/>
        <w:spacing w:before="360" w:after="0"/>
        <w:jc w:val="left"/>
        <w:rPr>
          <w:rFonts w:ascii="arial" w:hAnsi="arial"/>
          <w:sz w:val="22"/>
        </w:rPr>
      </w:pPr>
      <w:r>
        <w:rPr>
          <w:rFonts w:ascii="arial" w:hAnsi="arial"/>
          <w:sz w:val="22"/>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1468120" cy="41783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468120" cy="417830"/>
                    </a:xfrm>
                    <a:prstGeom prst="rect">
                      <a:avLst/>
                    </a:prstGeom>
                  </pic:spPr>
                </pic:pic>
              </a:graphicData>
            </a:graphic>
          </wp:inline>
        </w:drawing>
      </w:r>
      <w:r>
        <w:rPr/>
        <w:t xml:space="preserve"> </w:t>
      </w:r>
    </w:p>
    <w:p>
      <w:pPr>
        <w:pStyle w:val="TextBody"/>
        <w:bidi w:val="0"/>
        <w:spacing w:before="0" w:after="0"/>
        <w:jc w:val="left"/>
        <w:rPr>
          <w:rFonts w:ascii="arial" w:hAnsi="arial"/>
          <w:sz w:val="22"/>
        </w:rPr>
      </w:pPr>
      <w:r>
        <w:rPr>
          <w:rFonts w:ascii="arial" w:hAnsi="arial"/>
          <w:sz w:val="22"/>
        </w:rPr>
        <w:t xml:space="preserve">Shelley A. McBride </w:t>
      </w:r>
    </w:p>
    <w:p>
      <w:pPr>
        <w:pStyle w:val="TextBody"/>
        <w:bidi w:val="0"/>
        <w:spacing w:before="0" w:after="0"/>
        <w:jc w:val="left"/>
        <w:rPr>
          <w:rFonts w:ascii="arial" w:hAnsi="arial"/>
          <w:sz w:val="22"/>
        </w:rPr>
      </w:pPr>
      <w:r>
        <w:rPr>
          <w:rFonts w:ascii="arial" w:hAnsi="arial"/>
          <w:sz w:val="22"/>
        </w:rPr>
        <w:t xml:space="preserve">General Counsel and Secretary </w:t>
      </w:r>
    </w:p>
    <w:p>
      <w:pPr>
        <w:pStyle w:val="TextBody"/>
        <w:bidi w:val="0"/>
        <w:spacing w:before="0" w:after="0"/>
        <w:jc w:val="left"/>
        <w:rPr>
          <w:rFonts w:ascii="arial" w:hAnsi="arial"/>
          <w:sz w:val="22"/>
        </w:rPr>
      </w:pPr>
      <w:r>
        <w:rPr>
          <w:rFonts w:ascii="arial" w:hAnsi="arial"/>
          <w:sz w:val="22"/>
        </w:rPr>
        <w:t xml:space="preserve">April 8, 2025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Notice of 2025 Annual Meeting of Stockholders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bookmarkStart w:id="3" w:name="toc849638_1"/>
      <w:bookmarkEnd w:id="3"/>
      <w:r>
        <w:rPr>
          <w:rFonts w:ascii="Times New Roman" w:hAnsi="Times New Roman"/>
          <w:b/>
          <w:color w:val="1070B8"/>
          <w:sz w:val="44"/>
        </w:rPr>
        <w:t xml:space="preserve">PROXY SUMMARY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280" w:after="0"/>
        <w:jc w:val="left"/>
        <w:rPr>
          <w:rFonts w:ascii="arial" w:hAnsi="arial"/>
          <w:sz w:val="20"/>
        </w:rPr>
      </w:pPr>
      <w:r>
        <w:rPr>
          <w:rFonts w:ascii="arial" w:hAnsi="arial"/>
          <w:sz w:val="20"/>
        </w:rPr>
        <w:t xml:space="preserve">This Proxy Summary provides an overview of our business and highlights information contained elsewhere in this Proxy Statement. This summary does not contain all of the information you should consider. Please read the entire Proxy Statement carefully before voting. </w:t>
      </w:r>
    </w:p>
    <w:p>
      <w:pPr>
        <w:pStyle w:val="TextBody"/>
        <w:bidi w:val="0"/>
        <w:spacing w:before="240" w:after="0"/>
        <w:jc w:val="left"/>
        <w:rPr>
          <w:rFonts w:ascii="arial" w:hAnsi="arial"/>
          <w:b/>
          <w:color w:val="1F295C"/>
          <w:sz w:val="24"/>
        </w:rPr>
      </w:pPr>
      <w:bookmarkStart w:id="4" w:name="toc849638_2"/>
      <w:bookmarkEnd w:id="4"/>
      <w:r>
        <w:rPr>
          <w:rFonts w:ascii="arial" w:hAnsi="arial"/>
          <w:b/>
          <w:color w:val="1F295C"/>
          <w:sz w:val="24"/>
        </w:rPr>
        <w:t xml:space="preserve">Annual Meeting Proposals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0"/>
        <w:gridCol w:w="120"/>
        <w:gridCol w:w="4538"/>
        <w:gridCol w:w="120"/>
        <w:gridCol w:w="1805"/>
        <w:gridCol w:w="60"/>
        <w:gridCol w:w="602"/>
      </w:tblGrid>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2960" w:type="dxa"/>
            <w:tcBorders>
              <w:bottom w:val="single" w:sz="12" w:space="0" w:color="1070B8"/>
            </w:tcBorders>
            <w:tcMar>
              <w:bottom w:w="28" w:type="dxa"/>
            </w:tcMar>
            <w:vAlign w:val="center"/>
          </w:tcPr>
          <w:p>
            <w:pPr>
              <w:pStyle w:val="TableContents"/>
              <w:bidi w:val="0"/>
              <w:spacing w:before="0" w:after="283"/>
              <w:jc w:val="center"/>
              <w:rPr>
                <w:b/>
                <w:color w:val="1F295C"/>
              </w:rPr>
            </w:pPr>
            <w:r>
              <w:rPr>
                <w:b/>
                <w:color w:val="1F295C"/>
              </w:rPr>
              <w:t>Proposals</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4538" w:type="dxa"/>
            <w:tcBorders>
              <w:bottom w:val="single" w:sz="12" w:space="0" w:color="1070B8"/>
            </w:tcBorders>
            <w:tcMar>
              <w:bottom w:w="28" w:type="dxa"/>
            </w:tcMar>
            <w:vAlign w:val="center"/>
          </w:tcPr>
          <w:p>
            <w:pPr>
              <w:pStyle w:val="TableContents"/>
              <w:bidi w:val="0"/>
              <w:spacing w:before="0" w:after="283"/>
              <w:jc w:val="center"/>
              <w:rPr>
                <w:b/>
                <w:color w:val="1F295C"/>
              </w:rPr>
            </w:pPr>
            <w:r>
              <w:rPr>
                <w:b/>
                <w:color w:val="1F295C"/>
              </w:rPr>
              <w:t>Required Vote</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805" w:type="dxa"/>
            <w:tcBorders>
              <w:bottom w:val="single" w:sz="12" w:space="0" w:color="1070B8"/>
            </w:tcBorders>
            <w:tcMar>
              <w:bottom w:w="28" w:type="dxa"/>
            </w:tcMar>
            <w:vAlign w:val="center"/>
          </w:tcPr>
          <w:p>
            <w:pPr>
              <w:pStyle w:val="TableContents"/>
              <w:bidi w:val="0"/>
              <w:spacing w:before="0" w:after="283"/>
              <w:jc w:val="center"/>
              <w:rPr>
                <w:b/>
                <w:color w:val="1F295C"/>
              </w:rPr>
            </w:pPr>
            <w:r>
              <w:rPr>
                <w:b/>
                <w:color w:val="1F295C"/>
              </w:rPr>
              <w:t>Board</w:t>
              <w:br/>
              <w:t>Recommendation</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2" w:type="dxa"/>
            <w:tcBorders>
              <w:bottom w:val="single" w:sz="12" w:space="0" w:color="1070B8"/>
            </w:tcBorders>
            <w:tcMar>
              <w:bottom w:w="28" w:type="dxa"/>
            </w:tcMar>
            <w:vAlign w:val="center"/>
          </w:tcPr>
          <w:p>
            <w:pPr>
              <w:pStyle w:val="TableContents"/>
              <w:bidi w:val="0"/>
              <w:spacing w:before="0" w:after="283"/>
              <w:jc w:val="center"/>
              <w:rPr>
                <w:color w:val="1F295C"/>
              </w:rPr>
            </w:pPr>
            <w:r>
              <w:rPr>
                <w:color w:val="1F295C"/>
              </w:rPr>
              <w:t> </w:t>
            </w:r>
            <w:r>
              <w:rPr>
                <w:b/>
                <w:color w:val="1F295C"/>
              </w:rPr>
              <w:t>Page </w:t>
            </w:r>
          </w:p>
        </w:tc>
      </w:tr>
      <w:tr>
        <w:trPr/>
        <w:tc>
          <w:tcPr>
            <w:tcW w:w="2960" w:type="dxa"/>
            <w:tcBorders/>
            <w:shd w:fill="B8D4EA" w:val="clear"/>
            <w:vAlign w:val="center"/>
          </w:tcPr>
          <w:p>
            <w:pPr>
              <w:pStyle w:val="TableContents"/>
              <w:bidi w:val="0"/>
              <w:spacing w:before="0" w:after="283"/>
              <w:jc w:val="left"/>
              <w:rPr>
                <w:sz w:val="4"/>
                <w:szCs w:val="4"/>
              </w:rPr>
            </w:pPr>
            <w:r>
              <w:rPr>
                <w:sz w:val="4"/>
                <w:szCs w:val="4"/>
              </w:rPr>
            </w:r>
          </w:p>
        </w:tc>
        <w:tc>
          <w:tcPr>
            <w:tcW w:w="4658"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662" w:type="dxa"/>
            <w:gridSpan w:val="2"/>
            <w:tcBorders/>
            <w:vAlign w:val="center"/>
          </w:tcPr>
          <w:p>
            <w:pPr>
              <w:pStyle w:val="TableContents"/>
              <w:bidi w:val="0"/>
              <w:spacing w:before="0" w:after="283"/>
              <w:jc w:val="left"/>
              <w:rPr>
                <w:sz w:val="4"/>
                <w:szCs w:val="4"/>
              </w:rPr>
            </w:pPr>
            <w:r>
              <w:rPr>
                <w:sz w:val="4"/>
                <w:szCs w:val="4"/>
              </w:rPr>
            </w:r>
          </w:p>
        </w:tc>
      </w:tr>
      <w:tr>
        <w:trPr/>
        <w:tc>
          <w:tcPr>
            <w:tcW w:w="2960" w:type="dxa"/>
            <w:tcBorders>
              <w:bottom w:val="single" w:sz="6" w:space="0" w:color="000000"/>
            </w:tcBorders>
            <w:shd w:fill="B8D4EA" w:val="clear"/>
            <w:tcMar>
              <w:bottom w:w="120" w:type="dxa"/>
            </w:tcMar>
            <w:vAlign w:val="center"/>
          </w:tcPr>
          <w:p>
            <w:pPr>
              <w:pStyle w:val="TableContents"/>
              <w:bidi w:val="0"/>
              <w:spacing w:before="0" w:after="0"/>
              <w:jc w:val="left"/>
              <w:rPr>
                <w:rFonts w:ascii="arial" w:hAnsi="arial"/>
                <w:sz w:val="20"/>
              </w:rPr>
            </w:pPr>
            <w:r>
              <w:rPr>
                <w:rFonts w:ascii="arial" w:hAnsi="arial"/>
                <w:sz w:val="20"/>
              </w:rPr>
              <w:t>1. Election of Jeffrey W. Edwards, Lawrence A. Hilsheimer and Janet E. Jackson as directors to serve for three-year terms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538" w:type="dxa"/>
            <w:tcBorders>
              <w:bottom w:val="single" w:sz="6" w:space="0" w:color="000000"/>
            </w:tcBorders>
            <w:tcMar>
              <w:bottom w:w="120" w:type="dxa"/>
            </w:tcMar>
            <w:vAlign w:val="center"/>
          </w:tcPr>
          <w:p>
            <w:pPr>
              <w:pStyle w:val="TableContents"/>
              <w:bidi w:val="0"/>
              <w:spacing w:before="0" w:after="283"/>
              <w:jc w:val="left"/>
              <w:rPr/>
            </w:pPr>
            <w:r>
              <w:rPr/>
              <w:t>Majority of the votes cast at the Annual Meeting</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805" w:type="dxa"/>
            <w:tcBorders>
              <w:bottom w:val="single" w:sz="6" w:space="0" w:color="000000"/>
            </w:tcBorders>
            <w:tcMar>
              <w:bottom w:w="120" w:type="dxa"/>
            </w:tcMar>
            <w:vAlign w:val="center"/>
          </w:tcPr>
          <w:p>
            <w:pPr>
              <w:pStyle w:val="TableContents"/>
              <w:bidi w:val="0"/>
              <w:spacing w:before="0" w:after="0"/>
              <w:jc w:val="center"/>
              <w:rPr>
                <w:color w:val="1070B8"/>
              </w:rPr>
            </w:pPr>
            <w:r>
              <w:rPr>
                <w:color w:val="1070B8"/>
              </w:rPr>
              <w:t xml:space="preserve">✓ </w:t>
            </w:r>
            <w:r>
              <w:rPr>
                <w:rFonts w:ascii="arial" w:hAnsi="arial"/>
                <w:b/>
                <w:color w:val="1070B8"/>
                <w:sz w:val="20"/>
              </w:rPr>
              <w:t>FOR</w:t>
            </w:r>
          </w:p>
          <w:p>
            <w:pPr>
              <w:pStyle w:val="TableContents"/>
              <w:bidi w:val="0"/>
              <w:spacing w:before="0" w:after="20"/>
              <w:jc w:val="center"/>
              <w:rPr>
                <w:rFonts w:ascii="arial" w:hAnsi="arial"/>
                <w:b/>
                <w:color w:val="1070B8"/>
                <w:sz w:val="20"/>
              </w:rPr>
            </w:pPr>
            <w:r>
              <w:rPr>
                <w:rFonts w:ascii="arial" w:hAnsi="arial"/>
                <w:b/>
                <w:color w:val="1070B8"/>
                <w:sz w:val="20"/>
              </w:rPr>
              <w:t>each nominee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2" w:type="dxa"/>
            <w:tcBorders>
              <w:bottom w:val="single" w:sz="6" w:space="0" w:color="000000"/>
            </w:tcBorders>
            <w:tcMar>
              <w:bottom w:w="120" w:type="dxa"/>
            </w:tcMar>
            <w:vAlign w:val="center"/>
          </w:tcPr>
          <w:p>
            <w:pPr>
              <w:pStyle w:val="TableContents"/>
              <w:bidi w:val="0"/>
              <w:spacing w:before="0" w:after="283"/>
              <w:jc w:val="center"/>
              <w:rPr/>
            </w:pPr>
            <w:r>
              <w:rPr/>
              <w:t>9</w:t>
            </w:r>
          </w:p>
        </w:tc>
      </w:tr>
      <w:tr>
        <w:trPr/>
        <w:tc>
          <w:tcPr>
            <w:tcW w:w="2960" w:type="dxa"/>
            <w:tcBorders/>
            <w:shd w:fill="B8D4EA" w:val="clear"/>
            <w:vAlign w:val="center"/>
          </w:tcPr>
          <w:p>
            <w:pPr>
              <w:pStyle w:val="TableContents"/>
              <w:bidi w:val="0"/>
              <w:spacing w:before="0" w:after="283"/>
              <w:jc w:val="left"/>
              <w:rPr>
                <w:sz w:val="4"/>
                <w:szCs w:val="4"/>
              </w:rPr>
            </w:pPr>
            <w:r>
              <w:rPr>
                <w:sz w:val="4"/>
                <w:szCs w:val="4"/>
              </w:rPr>
            </w:r>
          </w:p>
        </w:tc>
        <w:tc>
          <w:tcPr>
            <w:tcW w:w="4658"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662" w:type="dxa"/>
            <w:gridSpan w:val="2"/>
            <w:tcBorders/>
            <w:vAlign w:val="center"/>
          </w:tcPr>
          <w:p>
            <w:pPr>
              <w:pStyle w:val="TableContents"/>
              <w:bidi w:val="0"/>
              <w:spacing w:before="0" w:after="283"/>
              <w:jc w:val="left"/>
              <w:rPr>
                <w:sz w:val="4"/>
                <w:szCs w:val="4"/>
              </w:rPr>
            </w:pPr>
            <w:r>
              <w:rPr>
                <w:sz w:val="4"/>
                <w:szCs w:val="4"/>
              </w:rPr>
            </w:r>
          </w:p>
        </w:tc>
      </w:tr>
      <w:tr>
        <w:trPr/>
        <w:tc>
          <w:tcPr>
            <w:tcW w:w="2960" w:type="dxa"/>
            <w:tcBorders>
              <w:bottom w:val="single" w:sz="6" w:space="0" w:color="000000"/>
            </w:tcBorders>
            <w:shd w:fill="B8D4EA" w:val="clear"/>
            <w:tcMar>
              <w:bottom w:w="120" w:type="dxa"/>
            </w:tcMar>
            <w:vAlign w:val="center"/>
          </w:tcPr>
          <w:p>
            <w:pPr>
              <w:pStyle w:val="TableContents"/>
              <w:bidi w:val="0"/>
              <w:spacing w:before="0" w:after="0"/>
              <w:jc w:val="left"/>
              <w:rPr>
                <w:rFonts w:ascii="arial" w:hAnsi="arial"/>
                <w:sz w:val="20"/>
              </w:rPr>
            </w:pPr>
            <w:r>
              <w:rPr>
                <w:rFonts w:ascii="arial" w:hAnsi="arial"/>
                <w:sz w:val="20"/>
              </w:rPr>
              <w:t>2. Ratification of the appointment of Deloitte &amp; Touche LLP as our independent registered public accounting firm for 2025</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538" w:type="dxa"/>
            <w:tcBorders>
              <w:bottom w:val="single" w:sz="6" w:space="0" w:color="000000"/>
            </w:tcBorders>
            <w:tcMar>
              <w:bottom w:w="120" w:type="dxa"/>
            </w:tcMar>
            <w:vAlign w:val="center"/>
          </w:tcPr>
          <w:p>
            <w:pPr>
              <w:pStyle w:val="TableContents"/>
              <w:bidi w:val="0"/>
              <w:spacing w:before="0" w:after="283"/>
              <w:jc w:val="left"/>
              <w:rPr/>
            </w:pPr>
            <w:r>
              <w:rPr/>
              <w:t>Majority of the shares present or represented by proxy at the Annual Meeting and entitled to vote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805" w:type="dxa"/>
            <w:tcBorders>
              <w:bottom w:val="single" w:sz="6" w:space="0" w:color="000000"/>
            </w:tcBorders>
            <w:tcMar>
              <w:bottom w:w="120" w:type="dxa"/>
            </w:tcMar>
            <w:vAlign w:val="center"/>
          </w:tcPr>
          <w:p>
            <w:pPr>
              <w:pStyle w:val="TableContents"/>
              <w:bidi w:val="0"/>
              <w:spacing w:before="0" w:after="283"/>
              <w:jc w:val="center"/>
              <w:rPr>
                <w:color w:val="1070B8"/>
              </w:rPr>
            </w:pPr>
            <w:r>
              <w:rPr>
                <w:color w:val="1070B8"/>
              </w:rPr>
              <w:t xml:space="preserve">✓ </w:t>
            </w:r>
            <w:r>
              <w:rPr>
                <w:b/>
                <w:color w:val="1070B8"/>
              </w:rPr>
              <w:t>FOR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2" w:type="dxa"/>
            <w:tcBorders>
              <w:bottom w:val="single" w:sz="6" w:space="0" w:color="000000"/>
            </w:tcBorders>
            <w:tcMar>
              <w:bottom w:w="120" w:type="dxa"/>
            </w:tcMar>
            <w:vAlign w:val="center"/>
          </w:tcPr>
          <w:p>
            <w:pPr>
              <w:pStyle w:val="TableContents"/>
              <w:bidi w:val="0"/>
              <w:spacing w:before="0" w:after="283"/>
              <w:jc w:val="center"/>
              <w:rPr/>
            </w:pPr>
            <w:r>
              <w:rPr/>
              <w:t>43</w:t>
            </w:r>
          </w:p>
        </w:tc>
      </w:tr>
      <w:tr>
        <w:trPr/>
        <w:tc>
          <w:tcPr>
            <w:tcW w:w="2960" w:type="dxa"/>
            <w:tcBorders/>
            <w:shd w:fill="B8D4EA" w:val="clear"/>
            <w:vAlign w:val="center"/>
          </w:tcPr>
          <w:p>
            <w:pPr>
              <w:pStyle w:val="TableContents"/>
              <w:bidi w:val="0"/>
              <w:spacing w:before="0" w:after="283"/>
              <w:jc w:val="left"/>
              <w:rPr>
                <w:sz w:val="4"/>
                <w:szCs w:val="4"/>
              </w:rPr>
            </w:pPr>
            <w:r>
              <w:rPr>
                <w:sz w:val="4"/>
                <w:szCs w:val="4"/>
              </w:rPr>
            </w:r>
          </w:p>
        </w:tc>
        <w:tc>
          <w:tcPr>
            <w:tcW w:w="4658"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662" w:type="dxa"/>
            <w:gridSpan w:val="2"/>
            <w:tcBorders/>
            <w:vAlign w:val="center"/>
          </w:tcPr>
          <w:p>
            <w:pPr>
              <w:pStyle w:val="TableContents"/>
              <w:bidi w:val="0"/>
              <w:spacing w:before="0" w:after="283"/>
              <w:jc w:val="left"/>
              <w:rPr>
                <w:sz w:val="4"/>
                <w:szCs w:val="4"/>
              </w:rPr>
            </w:pPr>
            <w:r>
              <w:rPr>
                <w:sz w:val="4"/>
                <w:szCs w:val="4"/>
              </w:rPr>
            </w:r>
          </w:p>
        </w:tc>
      </w:tr>
      <w:tr>
        <w:trPr/>
        <w:tc>
          <w:tcPr>
            <w:tcW w:w="2960" w:type="dxa"/>
            <w:tcBorders>
              <w:bottom w:val="single" w:sz="6" w:space="0" w:color="000000"/>
            </w:tcBorders>
            <w:shd w:fill="B8D4EA" w:val="clear"/>
            <w:tcMar>
              <w:bottom w:w="120" w:type="dxa"/>
            </w:tcMar>
            <w:vAlign w:val="center"/>
          </w:tcPr>
          <w:p>
            <w:pPr>
              <w:pStyle w:val="TableContents"/>
              <w:bidi w:val="0"/>
              <w:spacing w:before="0" w:after="0"/>
              <w:jc w:val="left"/>
              <w:rPr>
                <w:rFonts w:ascii="arial" w:hAnsi="arial"/>
                <w:sz w:val="20"/>
              </w:rPr>
            </w:pPr>
            <w:r>
              <w:rPr>
                <w:rFonts w:ascii="arial" w:hAnsi="arial"/>
                <w:sz w:val="20"/>
              </w:rPr>
              <w:t>3. Approval, on an advisory basis, of the compensation of our named executive officers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538" w:type="dxa"/>
            <w:tcBorders>
              <w:bottom w:val="single" w:sz="6" w:space="0" w:color="000000"/>
            </w:tcBorders>
            <w:tcMar>
              <w:bottom w:w="120" w:type="dxa"/>
            </w:tcMar>
            <w:vAlign w:val="center"/>
          </w:tcPr>
          <w:p>
            <w:pPr>
              <w:pStyle w:val="TableContents"/>
              <w:bidi w:val="0"/>
              <w:spacing w:before="0" w:after="283"/>
              <w:jc w:val="left"/>
              <w:rPr/>
            </w:pPr>
            <w:r>
              <w:rPr/>
              <w:t>Majority of the shares present or represented by proxy at the Annual Meeting and entitled to vote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805" w:type="dxa"/>
            <w:tcBorders>
              <w:bottom w:val="single" w:sz="6" w:space="0" w:color="000000"/>
            </w:tcBorders>
            <w:tcMar>
              <w:bottom w:w="120" w:type="dxa"/>
            </w:tcMar>
            <w:vAlign w:val="center"/>
          </w:tcPr>
          <w:p>
            <w:pPr>
              <w:pStyle w:val="TableContents"/>
              <w:bidi w:val="0"/>
              <w:spacing w:before="0" w:after="283"/>
              <w:jc w:val="center"/>
              <w:rPr>
                <w:color w:val="1070B8"/>
              </w:rPr>
            </w:pPr>
            <w:r>
              <w:rPr>
                <w:color w:val="1070B8"/>
              </w:rPr>
              <w:t xml:space="preserve">✓ </w:t>
            </w:r>
            <w:r>
              <w:rPr>
                <w:b/>
                <w:color w:val="1070B8"/>
              </w:rPr>
              <w:t>FOR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2" w:type="dxa"/>
            <w:tcBorders>
              <w:bottom w:val="single" w:sz="6" w:space="0" w:color="000000"/>
            </w:tcBorders>
            <w:tcMar>
              <w:bottom w:w="120" w:type="dxa"/>
            </w:tcMar>
            <w:vAlign w:val="center"/>
          </w:tcPr>
          <w:p>
            <w:pPr>
              <w:pStyle w:val="TableContents"/>
              <w:bidi w:val="0"/>
              <w:spacing w:before="0" w:after="283"/>
              <w:jc w:val="center"/>
              <w:rPr/>
            </w:pPr>
            <w:r>
              <w:rPr/>
              <w:t>46</w:t>
            </w:r>
          </w:p>
        </w:tc>
      </w:tr>
    </w:tbl>
    <w:p>
      <w:pPr>
        <w:pStyle w:val="TextBody"/>
        <w:bidi w:val="0"/>
        <w:spacing w:before="240" w:after="0"/>
        <w:jc w:val="left"/>
        <w:rPr>
          <w:rFonts w:ascii="arial" w:hAnsi="arial"/>
          <w:b/>
          <w:color w:val="1F295C"/>
          <w:sz w:val="24"/>
        </w:rPr>
      </w:pPr>
      <w:bookmarkStart w:id="5" w:name="toc849638_3"/>
      <w:bookmarkEnd w:id="5"/>
      <w:r>
        <w:rPr>
          <w:rFonts w:ascii="arial" w:hAnsi="arial"/>
          <w:b/>
          <w:color w:val="1F295C"/>
          <w:sz w:val="24"/>
        </w:rPr>
        <w:t xml:space="preserve">Business Overview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68"/>
        <w:gridCol w:w="120"/>
        <w:gridCol w:w="5817"/>
      </w:tblGrid>
      <w:tr>
        <w:trPr/>
        <w:tc>
          <w:tcPr>
            <w:tcW w:w="42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1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lineRule="atLeast" w:line="260" w:before="0" w:after="0"/>
              <w:jc w:val="left"/>
              <w:rPr>
                <w:rFonts w:ascii="arial" w:hAnsi="arial"/>
                <w:sz w:val="20"/>
              </w:rPr>
            </w:pPr>
            <w:r>
              <w:rPr>
                <w:rFonts w:ascii="arial" w:hAnsi="arial"/>
                <w:sz w:val="20"/>
              </w:rPr>
              <w:t>Our primary business is the installation of building products, mainly insulation, in residential and commercial buildings. We also install a diversified range of other building products including waterproofing, fire-stopping, fireproofing, garage doors, rain gutters, window blinds,</w:t>
            </w:r>
          </w:p>
        </w:tc>
      </w:tr>
      <w:tr>
        <w:trPr/>
        <w:tc>
          <w:tcPr>
            <w:tcW w:w="4268" w:type="dxa"/>
            <w:tcBorders/>
            <w:vAlign w:val="center"/>
          </w:tcPr>
          <w:p>
            <w:pPr>
              <w:pStyle w:val="TableContents"/>
              <w:bidi w:val="0"/>
              <w:spacing w:lineRule="atLeast" w:line="260" w:before="0" w:after="0"/>
              <w:jc w:val="left"/>
              <w:rPr>
                <w:rFonts w:ascii="arial" w:hAnsi="arial"/>
                <w:sz w:val="20"/>
              </w:rPr>
            </w:pPr>
            <w:r>
              <w:rPr>
                <w:rFonts w:ascii="arial" w:hAnsi="arial"/>
                <w:sz w:val="20"/>
              </w:rPr>
              <w:t>shower doors, closet shelving and mirrors. We offer our services from our network of over 250 branch locations serving the 48 continental United States and the District of Columbia.</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Our distribution platform consists of three regional distributors. AMD Distribution Services has eight locations serving the Midwest and Mountain West and distributes spray foam insulation, metal building insulation, residential insulation, mechanical and fabricated Styrofoam insulation and accessories. Central Aluminum Supply and Central Aluminum Supply of North Jersey distribute gutter supplies and accessories for construction projects across the Northeast and Mid-Atlantic. Insulation Supplies distributes various insulation products, including equipment and machines, in the Midwest.</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5817"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3681730" cy="227012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3681730" cy="22701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arial" w:hAnsi="arial"/>
                <w:sz w:val="12"/>
              </w:rPr>
            </w:pPr>
            <w:r>
              <w:rPr>
                <w:rFonts w:ascii="arial" w:hAnsi="arial"/>
                <w:sz w:val="12"/>
              </w:rPr>
              <w:t>Note: Shaded states are where we have a physical presence. Some dots represent multiple locations.</w:t>
            </w:r>
          </w:p>
        </w:tc>
      </w:tr>
    </w:tbl>
    <w:p>
      <w:pPr>
        <w:pStyle w:val="TextBody"/>
        <w:bidi w:val="0"/>
        <w:spacing w:before="0" w:after="0"/>
        <w:jc w:val="left"/>
        <w:rPr>
          <w:rFonts w:ascii="arial" w:hAnsi="arial"/>
          <w:sz w:val="20"/>
        </w:rPr>
      </w:pPr>
      <w:r>
        <w:rPr>
          <w:rFonts w:ascii="arial" w:hAnsi="arial"/>
          <w:sz w:val="20"/>
        </w:rPr>
        <w:t xml:space="preserve">We also operate a manufacturing operation located in Bucyrus, Ohio, which produces cellulose insulation with an 85% recycled wastepaper content and other specialty industrial fibers.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Proxy Summary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6" w:name="toc849638_4"/>
      <w:bookmarkEnd w:id="6"/>
      <w:r>
        <w:rPr>
          <w:rFonts w:ascii="arial" w:hAnsi="arial"/>
          <w:b/>
          <w:color w:val="1F295C"/>
          <w:sz w:val="24"/>
        </w:rPr>
        <w:t xml:space="preserve">Our Business Strategy </w:t>
      </w:r>
    </w:p>
    <w:p>
      <w:pPr>
        <w:pStyle w:val="TextBody"/>
        <w:bidi w:val="0"/>
        <w:spacing w:before="240" w:after="0"/>
        <w:jc w:val="left"/>
        <w:rPr>
          <w:rFonts w:ascii="arial" w:hAnsi="arial"/>
          <w:color w:val="1070B8"/>
          <w:sz w:val="20"/>
        </w:rPr>
      </w:pPr>
      <w:r>
        <w:rPr>
          <w:rFonts w:ascii="arial" w:hAnsi="arial"/>
          <w:color w:val="1070B8"/>
          <w:sz w:val="20"/>
        </w:rPr>
        <w:t xml:space="preserve">Growth Strategy </w:t>
      </w:r>
    </w:p>
    <w:p>
      <w:pPr>
        <w:pStyle w:val="TextBody"/>
        <w:bidi w:val="0"/>
        <w:spacing w:before="240" w:after="0"/>
        <w:jc w:val="left"/>
        <w:rPr>
          <w:rFonts w:ascii="arial" w:hAnsi="arial"/>
          <w:sz w:val="20"/>
        </w:rPr>
      </w:pPr>
      <w:r>
        <w:rPr>
          <w:rFonts w:ascii="arial" w:hAnsi="arial"/>
          <w:sz w:val="20"/>
        </w:rPr>
        <w:t xml:space="preserve">We are focused on diversifying our products and services, broadening our mix of end market exposure and expanding our geographic footprint. Our growth strategy includes acquisition of residential and commercial installers in new markets, acquisitions of businesses offering complementary products, introduction of new product offerings in existing markets, pursuit of new product categories in commercial markets, and expanding our multi-family sales in existing branches. </w:t>
      </w:r>
    </w:p>
    <w:p>
      <w:pPr>
        <w:pStyle w:val="TextBody"/>
        <w:bidi w:val="0"/>
        <w:spacing w:before="240" w:after="0"/>
        <w:jc w:val="left"/>
        <w:rPr>
          <w:rFonts w:ascii="arial" w:hAnsi="arial"/>
          <w:sz w:val="20"/>
        </w:rPr>
      </w:pPr>
      <w:r>
        <w:rPr>
          <w:rFonts w:ascii="arial" w:hAnsi="arial"/>
          <w:sz w:val="20"/>
        </w:rPr>
        <w:t xml:space="preserve">In February 2024, we celebrated ten years as a publicly traded company. At the time of our public offering in 2014, we had approximately 3,200 employees, and we estimate that we had a national residential insulation market share of approximately 16%. We currently have approximately 10,800 employees and we estimate that we service approximately 30% of the residential insulation market. During our ten year history as a public company, we have a demonstrated record of success for each of our growth strategies: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color w:val="1070B8"/>
                <w:sz w:val="20"/>
              </w:rPr>
              <w:t>Product diversification</w:t>
            </w:r>
            <w:r>
              <w:rPr>
                <w:rFonts w:ascii="arial" w:hAnsi="arial"/>
                <w:sz w:val="20"/>
              </w:rPr>
              <w:t xml:space="preserve"> - Revenue from insulation installation services represented approximately 76% of our total revenues in 2014 compared to 60%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color w:val="1070B8"/>
                <w:sz w:val="20"/>
              </w:rPr>
              <w:t>End market diversification</w:t>
            </w:r>
            <w:r>
              <w:rPr>
                <w:rFonts w:ascii="arial" w:hAnsi="arial"/>
                <w:sz w:val="20"/>
              </w:rPr>
              <w:t xml:space="preserve"> - We have decreased our single family residential new construction end market exposure from 73% in 2014 to 57% in 2024.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200"/>
        <w:gridCol w:w="60"/>
        <w:gridCol w:w="77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arial" w:hAnsi="arial"/>
                <w:sz w:val="20"/>
              </w:rPr>
            </w:pPr>
            <w:r>
              <w:rPr>
                <w:rFonts w:ascii="arial" w:hAnsi="arial"/>
                <w:color w:val="1070B8"/>
                <w:sz w:val="20"/>
              </w:rPr>
              <w:t>Geographic expansion</w:t>
            </w:r>
            <w:r>
              <w:rPr>
                <w:rFonts w:ascii="arial" w:hAnsi="arial"/>
                <w:sz w:val="20"/>
              </w:rPr>
              <w:t xml:space="preserve"> - We have added approximately 150 branch locations since 2014. </w:t>
            </w:r>
          </w:p>
        </w:tc>
      </w:tr>
    </w:tbl>
    <w:p>
      <w:pPr>
        <w:pStyle w:val="TextBody"/>
        <w:bidi w:val="0"/>
        <w:spacing w:before="0" w:after="0"/>
        <w:jc w:val="left"/>
        <w:rPr/>
      </w:pPr>
      <w:r>
        <w:rPr/>
        <w:t> </w:t>
      </w:r>
    </w:p>
    <w:tbl>
      <w:tblPr>
        <w:tblW w:w="11635" w:type="dxa"/>
        <w:jc w:val="left"/>
        <w:tblInd w:w="0" w:type="dxa"/>
        <w:tblLayout w:type="fixed"/>
        <w:tblCellMar>
          <w:top w:w="0" w:type="dxa"/>
          <w:left w:w="0" w:type="dxa"/>
          <w:bottom w:w="0" w:type="dxa"/>
          <w:right w:w="0" w:type="dxa"/>
        </w:tblCellMar>
      </w:tblPr>
      <w:tblGrid>
        <w:gridCol w:w="800"/>
        <w:gridCol w:w="60"/>
        <w:gridCol w:w="60"/>
        <w:gridCol w:w="60"/>
        <w:gridCol w:w="5130"/>
        <w:gridCol w:w="60"/>
        <w:gridCol w:w="260"/>
        <w:gridCol w:w="60"/>
        <w:gridCol w:w="5145"/>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45"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90" w:type="dxa"/>
            <w:gridSpan w:val="2"/>
            <w:tcBorders/>
            <w:shd w:fill="1F295C"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5205" w:type="dxa"/>
            <w:gridSpan w:val="2"/>
            <w:tcBorders/>
            <w:shd w:fill="1F295C"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1F295C" w:val="clear"/>
            <w:vAlign w:val="center"/>
          </w:tcPr>
          <w:p>
            <w:pPr>
              <w:pStyle w:val="TableContents"/>
              <w:bidi w:val="0"/>
              <w:spacing w:before="0" w:after="283"/>
              <w:jc w:val="left"/>
              <w:rPr/>
            </w:pPr>
            <w:r>
              <w:rPr/>
              <w:t> </w:t>
            </w:r>
          </w:p>
        </w:tc>
        <w:tc>
          <w:tcPr>
            <w:tcW w:w="5130" w:type="dxa"/>
            <w:tcBorders/>
            <w:shd w:fill="1F295C" w:val="clear"/>
            <w:vAlign w:val="center"/>
          </w:tcPr>
          <w:p>
            <w:pPr>
              <w:pStyle w:val="TableContents"/>
              <w:bidi w:val="0"/>
              <w:spacing w:before="0" w:after="283"/>
              <w:jc w:val="center"/>
              <w:rPr>
                <w:b/>
                <w:color w:val="FFFFFF"/>
              </w:rPr>
            </w:pPr>
            <w:r>
              <w:rPr>
                <w:b/>
                <w:color w:val="FFFFFF"/>
              </w:rPr>
              <w:t>2014</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60" w:type="dxa"/>
            <w:tcBorders/>
            <w:shd w:fill="1F295C" w:val="clear"/>
            <w:vAlign w:val="center"/>
          </w:tcPr>
          <w:p>
            <w:pPr>
              <w:pStyle w:val="TableContents"/>
              <w:bidi w:val="0"/>
              <w:spacing w:before="0" w:after="283"/>
              <w:jc w:val="left"/>
              <w:rPr/>
            </w:pPr>
            <w:r>
              <w:rPr/>
              <w:t> </w:t>
            </w:r>
          </w:p>
        </w:tc>
        <w:tc>
          <w:tcPr>
            <w:tcW w:w="5145" w:type="dxa"/>
            <w:tcBorders/>
            <w:shd w:fill="1F295C" w:val="clear"/>
            <w:vAlign w:val="center"/>
          </w:tcPr>
          <w:p>
            <w:pPr>
              <w:pStyle w:val="TableContents"/>
              <w:bidi w:val="0"/>
              <w:spacing w:before="0" w:after="283"/>
              <w:jc w:val="center"/>
              <w:rPr>
                <w:b/>
                <w:color w:val="FFFFFF"/>
              </w:rPr>
            </w:pPr>
            <w:r>
              <w:rPr>
                <w:b/>
                <w:color w:val="FFFFFF"/>
              </w:rPr>
              <w:t>2024</w:t>
            </w:r>
          </w:p>
        </w:tc>
      </w:tr>
      <w:tr>
        <w:trPr/>
        <w:tc>
          <w:tcPr>
            <w:tcW w:w="800" w:type="dxa"/>
            <w:tcBorders/>
            <w:shd w:fill="2CB5E8"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Revenue </w:t>
            </w:r>
          </w:p>
          <w:p>
            <w:pPr>
              <w:pStyle w:val="TableContents"/>
              <w:bidi w:val="0"/>
              <w:spacing w:before="0" w:after="0"/>
              <w:jc w:val="center"/>
              <w:rPr>
                <w:rFonts w:ascii="arial" w:hAnsi="arial"/>
                <w:b/>
                <w:color w:val="FFFFFF"/>
                <w:sz w:val="18"/>
              </w:rPr>
            </w:pPr>
            <w:r>
              <w:rPr>
                <w:rFonts w:ascii="arial" w:hAnsi="arial"/>
                <w:b/>
                <w:color w:val="FFFFFF"/>
                <w:sz w:val="18"/>
              </w:rPr>
              <w:t>by </w:t>
            </w:r>
          </w:p>
          <w:p>
            <w:pPr>
              <w:pStyle w:val="TableContents"/>
              <w:bidi w:val="0"/>
              <w:spacing w:before="0" w:after="20"/>
              <w:jc w:val="center"/>
              <w:rPr>
                <w:rFonts w:ascii="arial" w:hAnsi="arial"/>
                <w:b/>
                <w:color w:val="FFFFFF"/>
                <w:sz w:val="18"/>
              </w:rPr>
            </w:pPr>
            <w:r>
              <w:rPr>
                <w:rFonts w:ascii="arial" w:hAnsi="arial"/>
                <w:b/>
                <w:color w:val="FFFFFF"/>
                <w:sz w:val="18"/>
              </w:rPr>
              <w:t>Product 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257550" cy="212407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3257550" cy="21240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45"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257550" cy="213360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3257550" cy="2133600"/>
                          </a:xfrm>
                          <a:prstGeom prst="rect">
                            <a:avLst/>
                          </a:prstGeom>
                        </pic:spPr>
                      </pic:pic>
                    </a:graphicData>
                  </a:graphic>
                </wp:inline>
              </w:drawing>
            </w:r>
            <w:r>
              <w:rPr/>
              <w:t xml:space="preserve"> </w:t>
            </w:r>
          </w:p>
        </w:tc>
      </w:tr>
      <w:tr>
        <w:trPr/>
        <w:tc>
          <w:tcPr>
            <w:tcW w:w="800" w:type="dxa"/>
            <w:tcBorders/>
            <w:shd w:fill="1070B8"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Revenue </w:t>
            </w:r>
          </w:p>
          <w:p>
            <w:pPr>
              <w:pStyle w:val="TableContents"/>
              <w:bidi w:val="0"/>
              <w:spacing w:before="0" w:after="0"/>
              <w:jc w:val="center"/>
              <w:rPr>
                <w:rFonts w:ascii="arial" w:hAnsi="arial"/>
                <w:b/>
                <w:color w:val="FFFFFF"/>
                <w:sz w:val="18"/>
              </w:rPr>
            </w:pPr>
            <w:r>
              <w:rPr>
                <w:rFonts w:ascii="arial" w:hAnsi="arial"/>
                <w:b/>
                <w:color w:val="FFFFFF"/>
                <w:sz w:val="18"/>
              </w:rPr>
              <w:t>by </w:t>
            </w:r>
          </w:p>
          <w:p>
            <w:pPr>
              <w:pStyle w:val="TableContents"/>
              <w:bidi w:val="0"/>
              <w:spacing w:before="0" w:after="0"/>
              <w:jc w:val="center"/>
              <w:rPr>
                <w:rFonts w:ascii="arial" w:hAnsi="arial"/>
                <w:b/>
                <w:color w:val="FFFFFF"/>
                <w:sz w:val="18"/>
              </w:rPr>
            </w:pPr>
            <w:r>
              <w:rPr>
                <w:rFonts w:ascii="arial" w:hAnsi="arial"/>
                <w:b/>
                <w:color w:val="FFFFFF"/>
                <w:sz w:val="18"/>
              </w:rPr>
              <w:t>End- </w:t>
            </w:r>
          </w:p>
          <w:p>
            <w:pPr>
              <w:pStyle w:val="TableContents"/>
              <w:bidi w:val="0"/>
              <w:spacing w:before="0" w:after="20"/>
              <w:jc w:val="center"/>
              <w:rPr>
                <w:rFonts w:ascii="arial" w:hAnsi="arial"/>
                <w:b/>
                <w:color w:val="FFFFFF"/>
                <w:sz w:val="18"/>
              </w:rPr>
            </w:pPr>
            <w:r>
              <w:rPr>
                <w:rFonts w:ascii="arial" w:hAnsi="arial"/>
                <w:b/>
                <w:color w:val="FFFFFF"/>
                <w:sz w:val="18"/>
              </w:rPr>
              <w:t>Market 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257550" cy="210502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3257550" cy="21050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45"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257550" cy="212407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3257550" cy="212407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Proxy Summary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color w:val="595959"/>
          <w:sz w:val="28"/>
        </w:rPr>
      </w:pPr>
      <w:r>
        <w:rPr>
          <w:rFonts w:ascii="arial" w:hAnsi="arial"/>
          <w:b/>
          <w:color w:val="595959"/>
          <w:sz w:val="28"/>
        </w:rPr>
        <w:t xml:space="preserve">2014-2024 Branch Locations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2479675" cy="146621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2479675" cy="1466215"/>
                    </a:xfrm>
                    <a:prstGeom prst="rect">
                      <a:avLst/>
                    </a:prstGeom>
                  </pic:spPr>
                </pic:pic>
              </a:graphicData>
            </a:graphic>
          </wp:inline>
        </w:drawing>
      </w:r>
      <w:r>
        <w:rPr/>
        <w:t xml:space="preserve"> </w:t>
      </w:r>
    </w:p>
    <w:p>
      <w:pPr>
        <w:pStyle w:val="TextBody"/>
        <w:bidi w:val="0"/>
        <w:spacing w:before="240" w:after="0"/>
        <w:jc w:val="left"/>
        <w:rPr>
          <w:rFonts w:ascii="arial" w:hAnsi="arial"/>
          <w:color w:val="1070B8"/>
          <w:sz w:val="22"/>
        </w:rPr>
      </w:pPr>
      <w:r>
        <w:rPr>
          <w:rFonts w:ascii="arial" w:hAnsi="arial"/>
          <w:color w:val="1070B8"/>
          <w:sz w:val="22"/>
        </w:rPr>
        <w:t xml:space="preserve">Capital Allocation Strategy </w:t>
      </w:r>
    </w:p>
    <w:p>
      <w:pPr>
        <w:pStyle w:val="TextBody"/>
        <w:bidi w:val="0"/>
        <w:spacing w:before="240" w:after="0"/>
        <w:jc w:val="left"/>
        <w:rPr>
          <w:rFonts w:ascii="arial" w:hAnsi="arial"/>
          <w:sz w:val="20"/>
        </w:rPr>
      </w:pPr>
      <w:r>
        <w:rPr>
          <w:rFonts w:ascii="arial" w:hAnsi="arial"/>
          <w:sz w:val="20"/>
        </w:rPr>
        <w:t xml:space="preserve">Our capital allocation priorities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Acquisitions, which contribute to our profitability and anchor our growth strategies of product, end market and geographic diversification,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Quarterly and annual variable dividends and opportunistic share repurchases, which provide direct returns to our stockholders. </w:t>
            </w:r>
          </w:p>
        </w:tc>
      </w:tr>
    </w:tbl>
    <w:p>
      <w:pPr>
        <w:pStyle w:val="TextBody"/>
        <w:bidi w:val="0"/>
        <w:spacing w:before="240" w:after="0"/>
        <w:jc w:val="left"/>
        <w:rPr>
          <w:rFonts w:ascii="arial" w:hAnsi="arial"/>
          <w:sz w:val="20"/>
        </w:rPr>
      </w:pPr>
      <w:r>
        <w:rPr>
          <w:rFonts w:ascii="arial" w:hAnsi="arial"/>
          <w:sz w:val="20"/>
        </w:rPr>
        <w:t xml:space="preserve">In 2024, we acquired nine businesses with revenues exceeding $100 million, which expanded our geographic presence in attractive housing markets. We returned a record $230 million to stockholders, including quarterly and variable dividends of $85 million and stock repurchases of $145 million.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2496820" cy="228727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2496820" cy="22872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Proxy Summary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1070B8"/>
          <w:sz w:val="22"/>
        </w:rPr>
      </w:pPr>
      <w:r>
        <w:rPr>
          <w:rFonts w:ascii="arial" w:hAnsi="arial"/>
          <w:color w:val="1070B8"/>
          <w:sz w:val="22"/>
        </w:rPr>
        <w:t xml:space="preserve">Acquisition Strategy </w:t>
      </w:r>
    </w:p>
    <w:p>
      <w:pPr>
        <w:pStyle w:val="TextBody"/>
        <w:bidi w:val="0"/>
        <w:spacing w:before="280" w:after="0"/>
        <w:jc w:val="left"/>
        <w:rPr>
          <w:rFonts w:ascii="arial" w:hAnsi="arial"/>
          <w:sz w:val="20"/>
        </w:rPr>
      </w:pPr>
      <w:r>
        <w:rPr>
          <w:rFonts w:ascii="arial" w:hAnsi="arial"/>
          <w:sz w:val="20"/>
        </w:rPr>
        <w:t xml:space="preserve">In the 1990s, we began our acquisition strategy with the goal of creating a national platform and have since grown, by our estimate, to become one of the nation’s largest installers of insulation in the residential new construction end market. Since 1999, we have successfully completed and integrated over 200 acquisitions, which have expanded our scale and market presence and diversified our product offerings and end market exposures. Our asset-light model generates substantial operating cash flow, which supports further acquisition growth. In 2024, we successfully acquired and integrated nine businesses representing more than $100 million in aggregate annual revenues. </w:t>
      </w:r>
    </w:p>
    <w:p>
      <w:pPr>
        <w:pStyle w:val="TextBody"/>
        <w:bidi w:val="0"/>
        <w:spacing w:before="0" w:after="0"/>
        <w:jc w:val="left"/>
        <w:rPr/>
      </w:pPr>
      <w:r>
        <w:rPr/>
        <w:t> </w:t>
      </w:r>
    </w:p>
    <w:tbl>
      <w:tblPr>
        <w:tblW w:w="9939" w:type="dxa"/>
        <w:jc w:val="left"/>
        <w:tblInd w:w="0" w:type="dxa"/>
        <w:tblLayout w:type="fixed"/>
        <w:tblCellMar>
          <w:top w:w="0" w:type="dxa"/>
          <w:left w:w="0" w:type="dxa"/>
          <w:bottom w:w="0" w:type="dxa"/>
          <w:right w:w="0" w:type="dxa"/>
        </w:tblCellMar>
      </w:tblPr>
      <w:tblGrid>
        <w:gridCol w:w="5735"/>
        <w:gridCol w:w="60"/>
        <w:gridCol w:w="4144"/>
      </w:tblGrid>
      <w:tr>
        <w:trPr/>
        <w:tc>
          <w:tcPr>
            <w:tcW w:w="5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5735" w:type="dxa"/>
            <w:tcBorders/>
            <w:vAlign w:val="center"/>
          </w:tcPr>
          <w:p>
            <w:pPr>
              <w:pStyle w:val="TableContents"/>
              <w:bidi w:val="0"/>
              <w:spacing w:before="0" w:after="0"/>
              <w:jc w:val="left"/>
              <w:rPr/>
            </w:pPr>
            <w:r>
              <w:rPr>
                <w:color w:val="1F295C"/>
              </w:rPr>
              <w:t>∎</w:t>
            </w:r>
            <w:r>
              <w:rPr/>
              <w:t>  </w:t>
            </w:r>
            <w:r>
              <w:rPr>
                <w:rFonts w:ascii="arial" w:hAnsi="arial"/>
                <w:sz w:val="20"/>
              </w:rPr>
              <w:t>Keys to our acquisition approach</w:t>
            </w:r>
          </w:p>
          <w:p>
            <w:pPr>
              <w:pStyle w:val="TableContents"/>
              <w:bidi w:val="0"/>
              <w:spacing w:before="0" w:after="0"/>
              <w:jc w:val="left"/>
              <w:rPr/>
            </w:pPr>
            <w:r>
              <w:rPr/>
              <w:t> </w:t>
            </w:r>
          </w:p>
          <w:p>
            <w:pPr>
              <w:pStyle w:val="TableContents"/>
              <w:bidi w:val="0"/>
              <w:spacing w:before="0" w:after="0"/>
              <w:jc w:val="left"/>
              <w:rPr/>
            </w:pPr>
            <w:r>
              <w:rPr>
                <w:color w:val="1F295C"/>
              </w:rPr>
              <w:t>✓</w:t>
            </w:r>
            <w:r>
              <w:rPr/>
              <w:t xml:space="preserve"> </w:t>
            </w:r>
            <w:r>
              <w:rPr>
                <w:rFonts w:ascii="arial" w:hAnsi="arial"/>
                <w:sz w:val="20"/>
              </w:rPr>
              <w:t>Target profitable markets and outstanding operators</w:t>
            </w:r>
          </w:p>
          <w:p>
            <w:pPr>
              <w:pStyle w:val="TableContents"/>
              <w:bidi w:val="0"/>
              <w:spacing w:before="0" w:after="0"/>
              <w:jc w:val="left"/>
              <w:rPr/>
            </w:pPr>
            <w:r>
              <w:rPr/>
              <w:t> </w:t>
            </w:r>
          </w:p>
          <w:p>
            <w:pPr>
              <w:pStyle w:val="TableContents"/>
              <w:bidi w:val="0"/>
              <w:spacing w:before="0" w:after="0"/>
              <w:jc w:val="left"/>
              <w:rPr/>
            </w:pPr>
            <w:r>
              <w:rPr>
                <w:color w:val="1F295C"/>
              </w:rPr>
              <w:t>✓</w:t>
            </w:r>
            <w:r>
              <w:rPr/>
              <w:t xml:space="preserve"> </w:t>
            </w:r>
            <w:r>
              <w:rPr>
                <w:rFonts w:ascii="arial" w:hAnsi="arial"/>
                <w:sz w:val="20"/>
              </w:rPr>
              <w:t>Acquire operations with a strong reputation and customer base</w:t>
            </w:r>
          </w:p>
          <w:p>
            <w:pPr>
              <w:pStyle w:val="TableContents"/>
              <w:bidi w:val="0"/>
              <w:spacing w:before="0" w:after="0"/>
              <w:jc w:val="left"/>
              <w:rPr/>
            </w:pPr>
            <w:r>
              <w:rPr/>
              <w:t> </w:t>
            </w:r>
          </w:p>
          <w:p>
            <w:pPr>
              <w:pStyle w:val="TableContents"/>
              <w:bidi w:val="0"/>
              <w:spacing w:before="0" w:after="0"/>
              <w:jc w:val="left"/>
              <w:rPr/>
            </w:pPr>
            <w:r>
              <w:rPr>
                <w:color w:val="1F295C"/>
              </w:rPr>
              <w:t>✓</w:t>
            </w:r>
            <w:r>
              <w:rPr/>
              <w:t xml:space="preserve"> </w:t>
            </w:r>
            <w:r>
              <w:rPr>
                <w:rFonts w:ascii="arial" w:hAnsi="arial"/>
                <w:sz w:val="20"/>
              </w:rPr>
              <w:t>Maintain existing management teams and trade names</w:t>
            </w:r>
          </w:p>
          <w:p>
            <w:pPr>
              <w:pStyle w:val="TableContents"/>
              <w:bidi w:val="0"/>
              <w:spacing w:before="0" w:after="0"/>
              <w:jc w:val="left"/>
              <w:rPr/>
            </w:pPr>
            <w:r>
              <w:rPr/>
              <w:t> </w:t>
            </w:r>
          </w:p>
          <w:p>
            <w:pPr>
              <w:pStyle w:val="TableContents"/>
              <w:bidi w:val="0"/>
              <w:spacing w:before="0" w:after="0"/>
              <w:jc w:val="left"/>
              <w:rPr/>
            </w:pPr>
            <w:r>
              <w:rPr>
                <w:color w:val="1F295C"/>
              </w:rPr>
              <w:t>✓</w:t>
            </w:r>
            <w:r>
              <w:rPr/>
              <w:t xml:space="preserve"> </w:t>
            </w:r>
            <w:r>
              <w:rPr>
                <w:rFonts w:ascii="arial" w:hAnsi="arial"/>
                <w:sz w:val="20"/>
              </w:rPr>
              <w:t>Leverage national buying power</w:t>
            </w:r>
          </w:p>
          <w:p>
            <w:pPr>
              <w:pStyle w:val="TableContents"/>
              <w:bidi w:val="0"/>
              <w:spacing w:before="0" w:after="0"/>
              <w:jc w:val="left"/>
              <w:rPr/>
            </w:pPr>
            <w:r>
              <w:rPr/>
              <w:t> </w:t>
            </w:r>
          </w:p>
          <w:p>
            <w:pPr>
              <w:pStyle w:val="TableContents"/>
              <w:bidi w:val="0"/>
              <w:spacing w:before="0" w:after="20"/>
              <w:jc w:val="left"/>
              <w:rPr/>
            </w:pPr>
            <w:r>
              <w:rPr>
                <w:color w:val="1F295C"/>
              </w:rPr>
              <w:t>✓</w:t>
            </w:r>
            <w:r>
              <w:rPr/>
              <w:t xml:space="preserve"> </w:t>
            </w:r>
            <w:r>
              <w:rPr>
                <w:rFonts w:ascii="arial" w:hAnsi="arial"/>
                <w:sz w:val="20"/>
              </w:rPr>
              <w:t>Leverage relationships with national homebuilders</w:t>
            </w:r>
          </w:p>
        </w:tc>
        <w:tc>
          <w:tcPr>
            <w:tcW w:w="60" w:type="dxa"/>
            <w:tcBorders/>
            <w:vAlign w:val="center"/>
          </w:tcPr>
          <w:p>
            <w:pPr>
              <w:pStyle w:val="TableContents"/>
              <w:bidi w:val="0"/>
              <w:spacing w:before="0" w:after="283"/>
              <w:jc w:val="left"/>
              <w:rPr/>
            </w:pPr>
            <w:r>
              <w:rPr/>
              <w:t> </w:t>
            </w:r>
          </w:p>
        </w:tc>
        <w:tc>
          <w:tcPr>
            <w:tcW w:w="4144" w:type="dxa"/>
            <w:tcBorders/>
            <w:vAlign w:val="center"/>
          </w:tcPr>
          <w:p>
            <w:pPr>
              <w:pStyle w:val="TableContents"/>
              <w:bidi w:val="0"/>
              <w:spacing w:before="0" w:after="283"/>
              <w:jc w:val="center"/>
              <w:rPr/>
            </w:pPr>
            <w:r>
              <w:rPr/>
              <w:drawing>
                <wp:inline distT="0" distB="0" distL="0" distR="0">
                  <wp:extent cx="2583815" cy="196659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2583815" cy="1966595"/>
                          </a:xfrm>
                          <a:prstGeom prst="rect">
                            <a:avLst/>
                          </a:prstGeom>
                        </pic:spPr>
                      </pic:pic>
                    </a:graphicData>
                  </a:graphic>
                </wp:inline>
              </w:drawing>
            </w:r>
            <w:r>
              <w:rPr/>
              <w:t xml:space="preserve"> </w:t>
            </w:r>
          </w:p>
        </w:tc>
      </w:tr>
    </w:tbl>
    <w:p>
      <w:pPr>
        <w:pStyle w:val="TextBody"/>
        <w:bidi w:val="0"/>
        <w:spacing w:before="280" w:after="0"/>
        <w:jc w:val="left"/>
        <w:rPr>
          <w:rFonts w:ascii="arial" w:hAnsi="arial"/>
          <w:b/>
          <w:color w:val="1F295C"/>
          <w:sz w:val="24"/>
        </w:rPr>
      </w:pPr>
      <w:bookmarkStart w:id="7" w:name="toc849638_6"/>
      <w:bookmarkEnd w:id="7"/>
      <w:r>
        <w:rPr>
          <w:rFonts w:ascii="arial" w:hAnsi="arial"/>
          <w:b/>
          <w:color w:val="1F295C"/>
          <w:sz w:val="24"/>
        </w:rPr>
        <w:t xml:space="preserve">2024 Financial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4"/>
        <w:gridCol w:w="60"/>
        <w:gridCol w:w="1635"/>
        <w:gridCol w:w="60"/>
        <w:gridCol w:w="1550"/>
        <w:gridCol w:w="120"/>
        <w:gridCol w:w="2399"/>
        <w:gridCol w:w="120"/>
        <w:gridCol w:w="2487"/>
      </w:tblGrid>
      <w:tr>
        <w:trPr/>
        <w:tc>
          <w:tcPr>
            <w:tcW w:w="17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r>
      <w:tr>
        <w:trPr/>
        <w:tc>
          <w:tcPr>
            <w:tcW w:w="1774" w:type="dxa"/>
            <w:tcBorders>
              <w:top w:val="single" w:sz="12" w:space="0" w:color="1070B8"/>
            </w:tcBorders>
            <w:tcMar>
              <w:top w:w="28" w:type="dxa"/>
            </w:tcMar>
            <w:vAlign w:val="center"/>
          </w:tcPr>
          <w:p>
            <w:pPr>
              <w:pStyle w:val="TableContents"/>
              <w:bidi w:val="0"/>
              <w:spacing w:before="0" w:after="283"/>
              <w:jc w:val="left"/>
              <w:rPr/>
            </w:pPr>
            <w:r>
              <w:rPr/>
              <w:t> </w:t>
            </w:r>
          </w:p>
        </w:tc>
        <w:tc>
          <w:tcPr>
            <w:tcW w:w="60" w:type="dxa"/>
            <w:tcBorders>
              <w:top w:val="single" w:sz="12" w:space="0" w:color="1070B8"/>
            </w:tcBorders>
            <w:tcMar>
              <w:top w:w="28" w:type="dxa"/>
            </w:tcMar>
            <w:vAlign w:val="center"/>
          </w:tcPr>
          <w:p>
            <w:pPr>
              <w:pStyle w:val="TableContents"/>
              <w:bidi w:val="0"/>
              <w:spacing w:before="0" w:after="283"/>
              <w:jc w:val="left"/>
              <w:rPr/>
            </w:pPr>
            <w:r>
              <w:rPr/>
              <w:t> </w:t>
            </w:r>
          </w:p>
        </w:tc>
        <w:tc>
          <w:tcPr>
            <w:tcW w:w="1635" w:type="dxa"/>
            <w:tcBorders>
              <w:top w:val="single" w:sz="12" w:space="0" w:color="1070B8"/>
            </w:tcBorders>
            <w:tcMar>
              <w:top w:w="28" w:type="dxa"/>
            </w:tcMar>
            <w:vAlign w:val="center"/>
          </w:tcPr>
          <w:p>
            <w:pPr>
              <w:pStyle w:val="TableContents"/>
              <w:bidi w:val="0"/>
              <w:spacing w:before="0" w:after="283"/>
              <w:jc w:val="left"/>
              <w:rPr/>
            </w:pPr>
            <w:r>
              <w:rPr/>
              <w:t> </w:t>
            </w:r>
          </w:p>
        </w:tc>
        <w:tc>
          <w:tcPr>
            <w:tcW w:w="60" w:type="dxa"/>
            <w:tcBorders>
              <w:top w:val="single" w:sz="12" w:space="0" w:color="1070B8"/>
            </w:tcBorders>
            <w:tcMar>
              <w:top w:w="28" w:type="dxa"/>
            </w:tcMar>
            <w:vAlign w:val="center"/>
          </w:tcPr>
          <w:p>
            <w:pPr>
              <w:pStyle w:val="TableContents"/>
              <w:bidi w:val="0"/>
              <w:spacing w:before="0" w:after="283"/>
              <w:jc w:val="left"/>
              <w:rPr/>
            </w:pPr>
            <w:r>
              <w:rPr/>
              <w:t> </w:t>
            </w:r>
          </w:p>
        </w:tc>
        <w:tc>
          <w:tcPr>
            <w:tcW w:w="1550" w:type="dxa"/>
            <w:tcBorders>
              <w:top w:val="single" w:sz="12" w:space="0" w:color="1070B8"/>
            </w:tcBorders>
            <w:tcMar>
              <w:top w:w="28" w:type="dxa"/>
            </w:tcMar>
            <w:vAlign w:val="center"/>
          </w:tcPr>
          <w:p>
            <w:pPr>
              <w:pStyle w:val="TableContents"/>
              <w:bidi w:val="0"/>
              <w:spacing w:before="0" w:after="283"/>
              <w:jc w:val="left"/>
              <w:rPr/>
            </w:pPr>
            <w:r>
              <w:rPr/>
              <w:t> </w:t>
            </w:r>
          </w:p>
        </w:tc>
        <w:tc>
          <w:tcPr>
            <w:tcW w:w="120" w:type="dxa"/>
            <w:tcBorders>
              <w:top w:val="single" w:sz="12" w:space="0" w:color="1070B8"/>
            </w:tcBorders>
            <w:tcMar>
              <w:top w:w="28" w:type="dxa"/>
            </w:tcMar>
            <w:vAlign w:val="center"/>
          </w:tcPr>
          <w:p>
            <w:pPr>
              <w:pStyle w:val="TableContents"/>
              <w:bidi w:val="0"/>
              <w:spacing w:before="0" w:after="283"/>
              <w:jc w:val="left"/>
              <w:rPr/>
            </w:pPr>
            <w:r>
              <w:rPr/>
              <w:t>  </w:t>
            </w:r>
          </w:p>
        </w:tc>
        <w:tc>
          <w:tcPr>
            <w:tcW w:w="2399" w:type="dxa"/>
            <w:tcBorders>
              <w:top w:val="single" w:sz="12" w:space="0" w:color="1070B8"/>
            </w:tcBorders>
            <w:tcMar>
              <w:top w:w="28" w:type="dxa"/>
            </w:tcMar>
            <w:vAlign w:val="center"/>
          </w:tcPr>
          <w:p>
            <w:pPr>
              <w:pStyle w:val="TableContents"/>
              <w:bidi w:val="0"/>
              <w:spacing w:before="0" w:after="283"/>
              <w:jc w:val="left"/>
              <w:rPr/>
            </w:pPr>
            <w:r>
              <w:rPr/>
              <w:t> </w:t>
            </w:r>
          </w:p>
        </w:tc>
        <w:tc>
          <w:tcPr>
            <w:tcW w:w="120" w:type="dxa"/>
            <w:tcBorders>
              <w:top w:val="single" w:sz="12" w:space="0" w:color="1070B8"/>
            </w:tcBorders>
            <w:tcMar>
              <w:top w:w="28" w:type="dxa"/>
            </w:tcMar>
            <w:vAlign w:val="center"/>
          </w:tcPr>
          <w:p>
            <w:pPr>
              <w:pStyle w:val="TableContents"/>
              <w:bidi w:val="0"/>
              <w:spacing w:before="0" w:after="283"/>
              <w:jc w:val="left"/>
              <w:rPr/>
            </w:pPr>
            <w:r>
              <w:rPr/>
              <w:t>  </w:t>
            </w:r>
          </w:p>
        </w:tc>
        <w:tc>
          <w:tcPr>
            <w:tcW w:w="2487" w:type="dxa"/>
            <w:tcBorders>
              <w:top w:val="single" w:sz="12" w:space="0" w:color="1070B8"/>
            </w:tcBorders>
            <w:tcMar>
              <w:top w:w="28" w:type="dxa"/>
            </w:tcMar>
            <w:vAlign w:val="center"/>
          </w:tcPr>
          <w:p>
            <w:pPr>
              <w:pStyle w:val="TableContents"/>
              <w:bidi w:val="0"/>
              <w:spacing w:before="0" w:after="283"/>
              <w:jc w:val="left"/>
              <w:rPr/>
            </w:pPr>
            <w:r>
              <w:rPr/>
              <w:t> </w:t>
            </w:r>
          </w:p>
        </w:tc>
      </w:tr>
      <w:tr>
        <w:trPr/>
        <w:tc>
          <w:tcPr>
            <w:tcW w:w="1774" w:type="dxa"/>
            <w:tcBorders/>
            <w:vAlign w:val="center"/>
          </w:tcPr>
          <w:p>
            <w:pPr>
              <w:pStyle w:val="TableContents"/>
              <w:bidi w:val="0"/>
              <w:spacing w:before="0" w:after="283"/>
              <w:jc w:val="left"/>
              <w:rPr>
                <w:sz w:val="4"/>
                <w:szCs w:val="4"/>
              </w:rPr>
            </w:pPr>
            <w:r>
              <w:rPr>
                <w:sz w:val="4"/>
                <w:szCs w:val="4"/>
              </w:rPr>
            </w:r>
          </w:p>
        </w:tc>
        <w:tc>
          <w:tcPr>
            <w:tcW w:w="1695" w:type="dxa"/>
            <w:gridSpan w:val="2"/>
            <w:tcBorders>
              <w:left w:val="single" w:sz="6" w:space="0" w:color="1070B8"/>
              <w:right w:val="single" w:sz="6" w:space="0" w:color="1070B8"/>
            </w:tcBorders>
            <w:tcMar>
              <w:left w:w="28" w:type="dxa"/>
              <w:right w:w="28" w:type="dxa"/>
            </w:tcMar>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19" w:type="dxa"/>
            <w:gridSpan w:val="2"/>
            <w:tcBorders>
              <w:left w:val="single" w:sz="6" w:space="0" w:color="1070B8"/>
              <w:right w:val="single" w:sz="6" w:space="0" w:color="1070B8"/>
            </w:tcBorders>
            <w:tcMar>
              <w:left w:w="28" w:type="dxa"/>
              <w:right w:w="28" w:type="dxa"/>
            </w:tcMar>
            <w:vAlign w:val="center"/>
          </w:tcPr>
          <w:p>
            <w:pPr>
              <w:pStyle w:val="TableContents"/>
              <w:bidi w:val="0"/>
              <w:spacing w:before="0" w:after="283"/>
              <w:jc w:val="left"/>
              <w:rPr/>
            </w:pPr>
            <w:r>
              <w:rPr/>
              <w:t> </w:t>
            </w:r>
          </w:p>
        </w:tc>
        <w:tc>
          <w:tcPr>
            <w:tcW w:w="2607" w:type="dxa"/>
            <w:gridSpan w:val="2"/>
            <w:tcBorders/>
            <w:vAlign w:val="center"/>
          </w:tcPr>
          <w:p>
            <w:pPr>
              <w:pStyle w:val="TableContents"/>
              <w:bidi w:val="0"/>
              <w:spacing w:before="0" w:after="283"/>
              <w:jc w:val="left"/>
              <w:rPr>
                <w:sz w:val="4"/>
                <w:szCs w:val="4"/>
              </w:rPr>
            </w:pPr>
            <w:r>
              <w:rPr>
                <w:sz w:val="4"/>
                <w:szCs w:val="4"/>
              </w:rPr>
            </w:r>
          </w:p>
        </w:tc>
      </w:tr>
      <w:tr>
        <w:trPr/>
        <w:tc>
          <w:tcPr>
            <w:tcW w:w="1774" w:type="dxa"/>
            <w:tcBorders>
              <w:bottom w:val="single" w:sz="6" w:space="0" w:color="1070B8"/>
            </w:tcBorders>
            <w:tcMar>
              <w:bottom w:w="28" w:type="dxa"/>
            </w:tcMar>
            <w:vAlign w:val="center"/>
          </w:tcPr>
          <w:p>
            <w:pPr>
              <w:pStyle w:val="TableContents"/>
              <w:bidi w:val="0"/>
              <w:spacing w:before="0" w:after="0"/>
              <w:jc w:val="center"/>
              <w:rPr>
                <w:rFonts w:ascii="arial" w:hAnsi="arial"/>
                <w:b/>
                <w:color w:val="1070B8"/>
                <w:sz w:val="28"/>
              </w:rPr>
            </w:pPr>
            <w:r>
              <w:rPr>
                <w:rFonts w:ascii="arial" w:hAnsi="arial"/>
                <w:b/>
                <w:color w:val="1070B8"/>
                <w:sz w:val="28"/>
              </w:rPr>
              <w:t>Net Revenue</w:t>
            </w:r>
          </w:p>
          <w:p>
            <w:pPr>
              <w:pStyle w:val="TableContents"/>
              <w:bidi w:val="0"/>
              <w:spacing w:before="0" w:after="20"/>
              <w:jc w:val="left"/>
              <w:rPr/>
            </w:pPr>
            <w:r>
              <w:rPr/>
              <w:t> </w:t>
            </w:r>
          </w:p>
        </w:tc>
        <w:tc>
          <w:tcPr>
            <w:tcW w:w="60" w:type="dxa"/>
            <w:tcBorders>
              <w:left w:val="single" w:sz="6" w:space="0" w:color="1070B8"/>
              <w:bottom w:val="single" w:sz="6" w:space="0" w:color="1070B8"/>
            </w:tcBorders>
            <w:tcMar>
              <w:left w:w="28" w:type="dxa"/>
              <w:bottom w:w="28" w:type="dxa"/>
            </w:tcMar>
            <w:vAlign w:val="center"/>
          </w:tcPr>
          <w:p>
            <w:pPr>
              <w:pStyle w:val="TableContents"/>
              <w:bidi w:val="0"/>
              <w:spacing w:before="0" w:after="283"/>
              <w:jc w:val="left"/>
              <w:rPr/>
            </w:pPr>
            <w:r>
              <w:rPr/>
              <w:t> </w:t>
            </w:r>
          </w:p>
        </w:tc>
        <w:tc>
          <w:tcPr>
            <w:tcW w:w="1635" w:type="dxa"/>
            <w:tcBorders>
              <w:bottom w:val="single" w:sz="6" w:space="0" w:color="1070B8"/>
              <w:right w:val="single" w:sz="6" w:space="0" w:color="1070B8"/>
            </w:tcBorders>
            <w:tcMar>
              <w:bottom w:w="28" w:type="dxa"/>
              <w:right w:w="28" w:type="dxa"/>
            </w:tcMar>
            <w:vAlign w:val="center"/>
          </w:tcPr>
          <w:p>
            <w:pPr>
              <w:pStyle w:val="TableContents"/>
              <w:bidi w:val="0"/>
              <w:spacing w:before="0" w:after="0"/>
              <w:jc w:val="center"/>
              <w:rPr>
                <w:rFonts w:ascii="arial" w:hAnsi="arial"/>
                <w:b/>
                <w:color w:val="1070B8"/>
                <w:sz w:val="28"/>
              </w:rPr>
            </w:pPr>
            <w:r>
              <w:rPr>
                <w:rFonts w:ascii="arial" w:hAnsi="arial"/>
                <w:b/>
                <w:color w:val="1070B8"/>
                <w:sz w:val="28"/>
              </w:rPr>
              <w:t>Gross Profit</w:t>
            </w:r>
          </w:p>
          <w:p>
            <w:pPr>
              <w:pStyle w:val="TableContents"/>
              <w:bidi w:val="0"/>
              <w:spacing w:before="0" w:after="20"/>
              <w:jc w:val="left"/>
              <w:rPr/>
            </w:pPr>
            <w:r>
              <w:rPr/>
              <w:t> </w:t>
            </w:r>
          </w:p>
        </w:tc>
        <w:tc>
          <w:tcPr>
            <w:tcW w:w="60" w:type="dxa"/>
            <w:tcBorders>
              <w:bottom w:val="single" w:sz="6" w:space="0" w:color="1070B8"/>
            </w:tcBorders>
            <w:tcMar>
              <w:bottom w:w="28" w:type="dxa"/>
            </w:tcMar>
            <w:vAlign w:val="center"/>
          </w:tcPr>
          <w:p>
            <w:pPr>
              <w:pStyle w:val="TableContents"/>
              <w:bidi w:val="0"/>
              <w:spacing w:before="0" w:after="283"/>
              <w:jc w:val="left"/>
              <w:rPr/>
            </w:pPr>
            <w:r>
              <w:rPr/>
              <w:t> </w:t>
            </w:r>
          </w:p>
        </w:tc>
        <w:tc>
          <w:tcPr>
            <w:tcW w:w="1550" w:type="dxa"/>
            <w:tcBorders>
              <w:bottom w:val="single" w:sz="6" w:space="0" w:color="1070B8"/>
            </w:tcBorders>
            <w:tcMar>
              <w:bottom w:w="28" w:type="dxa"/>
            </w:tcMar>
            <w:vAlign w:val="center"/>
          </w:tcPr>
          <w:p>
            <w:pPr>
              <w:pStyle w:val="TableContents"/>
              <w:bidi w:val="0"/>
              <w:spacing w:before="0" w:after="0"/>
              <w:jc w:val="center"/>
              <w:rPr>
                <w:rFonts w:ascii="arial" w:hAnsi="arial"/>
                <w:b/>
                <w:color w:val="1070B8"/>
                <w:sz w:val="28"/>
              </w:rPr>
            </w:pPr>
            <w:r>
              <w:rPr>
                <w:rFonts w:ascii="arial" w:hAnsi="arial"/>
                <w:b/>
                <w:color w:val="1070B8"/>
                <w:sz w:val="28"/>
              </w:rPr>
              <w:t>Net Income</w:t>
            </w:r>
          </w:p>
          <w:p>
            <w:pPr>
              <w:pStyle w:val="TableContents"/>
              <w:bidi w:val="0"/>
              <w:spacing w:before="0" w:after="20"/>
              <w:jc w:val="left"/>
              <w:rPr/>
            </w:pPr>
            <w:r>
              <w:rPr/>
              <w:t> </w:t>
            </w:r>
          </w:p>
        </w:tc>
        <w:tc>
          <w:tcPr>
            <w:tcW w:w="120" w:type="dxa"/>
            <w:tcBorders>
              <w:left w:val="single" w:sz="6" w:space="0" w:color="1070B8"/>
              <w:bottom w:val="single" w:sz="6" w:space="0" w:color="1070B8"/>
            </w:tcBorders>
            <w:tcMar>
              <w:left w:w="28" w:type="dxa"/>
              <w:bottom w:w="28" w:type="dxa"/>
            </w:tcMar>
            <w:vAlign w:val="center"/>
          </w:tcPr>
          <w:p>
            <w:pPr>
              <w:pStyle w:val="TableContents"/>
              <w:bidi w:val="0"/>
              <w:spacing w:before="0" w:after="283"/>
              <w:jc w:val="left"/>
              <w:rPr/>
            </w:pPr>
            <w:r>
              <w:rPr/>
              <w:t>  </w:t>
            </w:r>
          </w:p>
        </w:tc>
        <w:tc>
          <w:tcPr>
            <w:tcW w:w="2399" w:type="dxa"/>
            <w:tcBorders>
              <w:bottom w:val="single" w:sz="6" w:space="0" w:color="1070B8"/>
              <w:right w:val="single" w:sz="6" w:space="0" w:color="1070B8"/>
            </w:tcBorders>
            <w:tcMar>
              <w:bottom w:w="28" w:type="dxa"/>
              <w:right w:w="28" w:type="dxa"/>
            </w:tcMar>
            <w:vAlign w:val="center"/>
          </w:tcPr>
          <w:p>
            <w:pPr>
              <w:pStyle w:val="TableContents"/>
              <w:bidi w:val="0"/>
              <w:spacing w:before="0" w:after="0"/>
              <w:jc w:val="center"/>
              <w:rPr>
                <w:rFonts w:ascii="arial" w:hAnsi="arial"/>
                <w:b/>
                <w:color w:val="1070B8"/>
                <w:sz w:val="28"/>
              </w:rPr>
            </w:pPr>
            <w:r>
              <w:rPr>
                <w:rFonts w:ascii="arial" w:hAnsi="arial"/>
                <w:b/>
                <w:color w:val="1070B8"/>
                <w:sz w:val="28"/>
              </w:rPr>
              <w:t>Diluted Earnings </w:t>
            </w:r>
          </w:p>
          <w:p>
            <w:pPr>
              <w:pStyle w:val="TableContents"/>
              <w:bidi w:val="0"/>
              <w:spacing w:before="0" w:after="0"/>
              <w:jc w:val="center"/>
              <w:rPr>
                <w:rFonts w:ascii="arial" w:hAnsi="arial"/>
                <w:b/>
                <w:color w:val="1070B8"/>
                <w:sz w:val="28"/>
              </w:rPr>
            </w:pPr>
            <w:r>
              <w:rPr>
                <w:rFonts w:ascii="arial" w:hAnsi="arial"/>
                <w:b/>
                <w:color w:val="1070B8"/>
                <w:sz w:val="28"/>
              </w:rPr>
              <w:t>Per Share </w:t>
            </w:r>
          </w:p>
          <w:p>
            <w:pPr>
              <w:pStyle w:val="TableContents"/>
              <w:bidi w:val="0"/>
              <w:spacing w:before="0" w:after="20"/>
              <w:jc w:val="left"/>
              <w:rPr/>
            </w:pPr>
            <w:r>
              <w:rPr/>
              <w:t> </w:t>
            </w:r>
          </w:p>
        </w:tc>
        <w:tc>
          <w:tcPr>
            <w:tcW w:w="120" w:type="dxa"/>
            <w:tcBorders>
              <w:bottom w:val="single" w:sz="6" w:space="0" w:color="1070B8"/>
            </w:tcBorders>
            <w:tcMar>
              <w:bottom w:w="28" w:type="dxa"/>
            </w:tcMar>
            <w:vAlign w:val="center"/>
          </w:tcPr>
          <w:p>
            <w:pPr>
              <w:pStyle w:val="TableContents"/>
              <w:bidi w:val="0"/>
              <w:spacing w:before="0" w:after="283"/>
              <w:jc w:val="left"/>
              <w:rPr/>
            </w:pPr>
            <w:r>
              <w:rPr/>
              <w:t>  </w:t>
            </w:r>
          </w:p>
        </w:tc>
        <w:tc>
          <w:tcPr>
            <w:tcW w:w="2487" w:type="dxa"/>
            <w:tcBorders>
              <w:bottom w:val="single" w:sz="6" w:space="0" w:color="1070B8"/>
            </w:tcBorders>
            <w:tcMar>
              <w:bottom w:w="28" w:type="dxa"/>
            </w:tcMar>
            <w:vAlign w:val="center"/>
          </w:tcPr>
          <w:p>
            <w:pPr>
              <w:pStyle w:val="TableContents"/>
              <w:bidi w:val="0"/>
              <w:spacing w:before="0" w:after="0"/>
              <w:jc w:val="center"/>
              <w:rPr>
                <w:rFonts w:ascii="arial" w:hAnsi="arial"/>
                <w:b/>
                <w:color w:val="1070B8"/>
                <w:sz w:val="28"/>
              </w:rPr>
            </w:pPr>
            <w:r>
              <w:rPr>
                <w:rFonts w:ascii="arial" w:hAnsi="arial"/>
                <w:b/>
                <w:color w:val="1070B8"/>
                <w:sz w:val="28"/>
              </w:rPr>
              <w:t>Adjusted EBITDA*</w:t>
            </w:r>
          </w:p>
          <w:p>
            <w:pPr>
              <w:pStyle w:val="TableContents"/>
              <w:bidi w:val="0"/>
              <w:spacing w:before="0" w:after="20"/>
              <w:jc w:val="left"/>
              <w:rPr/>
            </w:pPr>
            <w:r>
              <w:rPr/>
              <w:t> </w:t>
            </w:r>
          </w:p>
        </w:tc>
      </w:tr>
      <w:tr>
        <w:trPr/>
        <w:tc>
          <w:tcPr>
            <w:tcW w:w="1774" w:type="dxa"/>
            <w:tcBorders/>
            <w:vAlign w:val="center"/>
          </w:tcPr>
          <w:p>
            <w:pPr>
              <w:pStyle w:val="TableContents"/>
              <w:bidi w:val="0"/>
              <w:spacing w:before="0" w:after="283"/>
              <w:jc w:val="left"/>
              <w:rPr>
                <w:sz w:val="4"/>
                <w:szCs w:val="4"/>
              </w:rPr>
            </w:pPr>
            <w:r>
              <w:rPr>
                <w:sz w:val="4"/>
                <w:szCs w:val="4"/>
              </w:rPr>
            </w:r>
          </w:p>
        </w:tc>
        <w:tc>
          <w:tcPr>
            <w:tcW w:w="1695" w:type="dxa"/>
            <w:gridSpan w:val="2"/>
            <w:tcBorders>
              <w:left w:val="single" w:sz="6" w:space="0" w:color="1070B8"/>
              <w:right w:val="single" w:sz="6" w:space="0" w:color="1070B8"/>
            </w:tcBorders>
            <w:tcMar>
              <w:left w:w="28" w:type="dxa"/>
              <w:right w:w="28" w:type="dxa"/>
            </w:tcMar>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19" w:type="dxa"/>
            <w:gridSpan w:val="2"/>
            <w:tcBorders>
              <w:left w:val="single" w:sz="6" w:space="0" w:color="1070B8"/>
              <w:right w:val="single" w:sz="6" w:space="0" w:color="1070B8"/>
            </w:tcBorders>
            <w:tcMar>
              <w:left w:w="28" w:type="dxa"/>
              <w:right w:w="28" w:type="dxa"/>
            </w:tcMar>
            <w:vAlign w:val="center"/>
          </w:tcPr>
          <w:p>
            <w:pPr>
              <w:pStyle w:val="TableContents"/>
              <w:bidi w:val="0"/>
              <w:spacing w:before="0" w:after="283"/>
              <w:jc w:val="left"/>
              <w:rPr/>
            </w:pPr>
            <w:r>
              <w:rPr/>
              <w:t> </w:t>
            </w:r>
          </w:p>
        </w:tc>
        <w:tc>
          <w:tcPr>
            <w:tcW w:w="2607" w:type="dxa"/>
            <w:gridSpan w:val="2"/>
            <w:tcBorders/>
            <w:vAlign w:val="center"/>
          </w:tcPr>
          <w:p>
            <w:pPr>
              <w:pStyle w:val="TableContents"/>
              <w:bidi w:val="0"/>
              <w:spacing w:before="0" w:after="283"/>
              <w:jc w:val="left"/>
              <w:rPr>
                <w:sz w:val="4"/>
                <w:szCs w:val="4"/>
              </w:rPr>
            </w:pPr>
            <w:r>
              <w:rPr>
                <w:sz w:val="4"/>
                <w:szCs w:val="4"/>
              </w:rPr>
            </w:r>
          </w:p>
        </w:tc>
      </w:tr>
      <w:tr>
        <w:trPr/>
        <w:tc>
          <w:tcPr>
            <w:tcW w:w="1774"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sz w:val="32"/>
              </w:rPr>
            </w:pPr>
            <w:r>
              <w:rPr>
                <w:rFonts w:ascii="arial" w:hAnsi="arial"/>
                <w:b/>
                <w:sz w:val="32"/>
              </w:rPr>
              <w:t>$2.9</w:t>
            </w:r>
          </w:p>
          <w:p>
            <w:pPr>
              <w:pStyle w:val="TableContents"/>
              <w:bidi w:val="0"/>
              <w:spacing w:before="0" w:after="20"/>
              <w:jc w:val="center"/>
              <w:rPr>
                <w:rFonts w:ascii="arial" w:hAnsi="arial"/>
                <w:b/>
                <w:sz w:val="32"/>
              </w:rPr>
            </w:pPr>
            <w:r>
              <w:rPr>
                <w:rFonts w:ascii="arial" w:hAnsi="arial"/>
                <w:b/>
                <w:sz w:val="32"/>
              </w:rPr>
              <w:t>billion</w:t>
            </w:r>
          </w:p>
        </w:tc>
        <w:tc>
          <w:tcPr>
            <w:tcW w:w="60" w:type="dxa"/>
            <w:tcBorders>
              <w:left w:val="single" w:sz="6" w:space="0" w:color="1070B8"/>
            </w:tcBorders>
            <w:tcMar>
              <w:left w:w="28" w:type="dxa"/>
            </w:tcMar>
            <w:vAlign w:val="center"/>
          </w:tcPr>
          <w:p>
            <w:pPr>
              <w:pStyle w:val="TableContents"/>
              <w:bidi w:val="0"/>
              <w:spacing w:before="0" w:after="283"/>
              <w:jc w:val="left"/>
              <w:rPr/>
            </w:pPr>
            <w:r>
              <w:rPr/>
              <w:t> </w:t>
            </w:r>
          </w:p>
        </w:tc>
        <w:tc>
          <w:tcPr>
            <w:tcW w:w="1635" w:type="dxa"/>
            <w:tcBorders>
              <w:right w:val="single" w:sz="6" w:space="0" w:color="1070B8"/>
            </w:tcBorders>
            <w:tcMar>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32"/>
              </w:rPr>
            </w:pPr>
            <w:r>
              <w:rPr>
                <w:rFonts w:ascii="arial" w:hAnsi="arial"/>
                <w:b/>
                <w:sz w:val="32"/>
              </w:rPr>
              <w:t>$994.5</w:t>
              <w:br/>
              <w:t>million</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32"/>
              </w:rPr>
            </w:pPr>
            <w:r>
              <w:rPr>
                <w:rFonts w:ascii="arial" w:hAnsi="arial"/>
                <w:b/>
                <w:sz w:val="32"/>
              </w:rPr>
              <w:t>$256.6</w:t>
              <w:br/>
              <w:t>million</w:t>
            </w:r>
          </w:p>
        </w:tc>
        <w:tc>
          <w:tcPr>
            <w:tcW w:w="120" w:type="dxa"/>
            <w:tcBorders>
              <w:left w:val="single" w:sz="6" w:space="0" w:color="1070B8"/>
            </w:tcBorders>
            <w:tcMar>
              <w:left w:w="28" w:type="dxa"/>
            </w:tcMar>
            <w:vAlign w:val="center"/>
          </w:tcPr>
          <w:p>
            <w:pPr>
              <w:pStyle w:val="TableContents"/>
              <w:bidi w:val="0"/>
              <w:spacing w:before="0" w:after="283"/>
              <w:jc w:val="left"/>
              <w:rPr/>
            </w:pPr>
            <w:r>
              <w:rPr/>
              <w:t>  </w:t>
            </w:r>
          </w:p>
        </w:tc>
        <w:tc>
          <w:tcPr>
            <w:tcW w:w="2399" w:type="dxa"/>
            <w:tcBorders>
              <w:right w:val="single" w:sz="6" w:space="0" w:color="1070B8"/>
            </w:tcBorders>
            <w:tcMar>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32"/>
              </w:rPr>
            </w:pPr>
            <w:r>
              <w:rPr>
                <w:rFonts w:ascii="arial" w:hAnsi="arial"/>
                <w:b/>
                <w:sz w:val="32"/>
              </w:rPr>
              <w:t>$9.10</w:t>
            </w:r>
          </w:p>
        </w:tc>
        <w:tc>
          <w:tcPr>
            <w:tcW w:w="120" w:type="dxa"/>
            <w:tcBorders/>
            <w:vAlign w:val="center"/>
          </w:tcPr>
          <w:p>
            <w:pPr>
              <w:pStyle w:val="TableContents"/>
              <w:bidi w:val="0"/>
              <w:spacing w:before="0" w:after="283"/>
              <w:jc w:val="left"/>
              <w:rPr/>
            </w:pPr>
            <w:r>
              <w:rPr/>
              <w:t>  </w:t>
            </w:r>
          </w:p>
        </w:tc>
        <w:tc>
          <w:tcPr>
            <w:tcW w:w="2487"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sz w:val="32"/>
              </w:rPr>
            </w:pPr>
            <w:r>
              <w:rPr>
                <w:rFonts w:ascii="arial" w:hAnsi="arial"/>
                <w:b/>
                <w:sz w:val="32"/>
              </w:rPr>
              <w:t>$511.4</w:t>
            </w:r>
          </w:p>
          <w:p>
            <w:pPr>
              <w:pStyle w:val="TableContents"/>
              <w:bidi w:val="0"/>
              <w:spacing w:before="0" w:after="20"/>
              <w:jc w:val="center"/>
              <w:rPr>
                <w:rFonts w:ascii="arial" w:hAnsi="arial"/>
                <w:b/>
                <w:sz w:val="32"/>
              </w:rPr>
            </w:pPr>
            <w:r>
              <w:rPr>
                <w:rFonts w:ascii="arial" w:hAnsi="arial"/>
                <w:b/>
                <w:sz w:val="32"/>
              </w:rPr>
              <w:t>million</w:t>
            </w:r>
          </w:p>
        </w:tc>
      </w:tr>
      <w:tr>
        <w:trPr/>
        <w:tc>
          <w:tcPr>
            <w:tcW w:w="1774" w:type="dxa"/>
            <w:tcBorders/>
            <w:vAlign w:val="center"/>
          </w:tcPr>
          <w:p>
            <w:pPr>
              <w:pStyle w:val="TableContents"/>
              <w:bidi w:val="0"/>
              <w:spacing w:before="0" w:after="283"/>
              <w:jc w:val="left"/>
              <w:rPr>
                <w:sz w:val="4"/>
                <w:szCs w:val="4"/>
              </w:rPr>
            </w:pPr>
            <w:r>
              <w:rPr>
                <w:sz w:val="4"/>
                <w:szCs w:val="4"/>
              </w:rPr>
            </w:r>
          </w:p>
        </w:tc>
        <w:tc>
          <w:tcPr>
            <w:tcW w:w="1695" w:type="dxa"/>
            <w:gridSpan w:val="2"/>
            <w:tcBorders>
              <w:left w:val="single" w:sz="6" w:space="0" w:color="1070B8"/>
              <w:right w:val="single" w:sz="6" w:space="0" w:color="1070B8"/>
            </w:tcBorders>
            <w:tcMar>
              <w:left w:w="28" w:type="dxa"/>
              <w:right w:w="28" w:type="dxa"/>
            </w:tcMar>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19" w:type="dxa"/>
            <w:gridSpan w:val="2"/>
            <w:tcBorders>
              <w:left w:val="single" w:sz="6" w:space="0" w:color="1070B8"/>
              <w:right w:val="single" w:sz="6" w:space="0" w:color="1070B8"/>
            </w:tcBorders>
            <w:tcMar>
              <w:left w:w="28" w:type="dxa"/>
              <w:right w:w="28" w:type="dxa"/>
            </w:tcMar>
            <w:vAlign w:val="center"/>
          </w:tcPr>
          <w:p>
            <w:pPr>
              <w:pStyle w:val="TableContents"/>
              <w:bidi w:val="0"/>
              <w:spacing w:before="0" w:after="283"/>
              <w:jc w:val="left"/>
              <w:rPr/>
            </w:pPr>
            <w:r>
              <w:rPr/>
              <w:t> </w:t>
            </w:r>
          </w:p>
        </w:tc>
        <w:tc>
          <w:tcPr>
            <w:tcW w:w="2607" w:type="dxa"/>
            <w:gridSpan w:val="2"/>
            <w:tcBorders/>
            <w:vAlign w:val="center"/>
          </w:tcPr>
          <w:p>
            <w:pPr>
              <w:pStyle w:val="TableContents"/>
              <w:bidi w:val="0"/>
              <w:spacing w:before="0" w:after="283"/>
              <w:jc w:val="left"/>
              <w:rPr>
                <w:sz w:val="4"/>
                <w:szCs w:val="4"/>
              </w:rPr>
            </w:pPr>
            <w:r>
              <w:rPr>
                <w:sz w:val="4"/>
                <w:szCs w:val="4"/>
              </w:rPr>
            </w:r>
          </w:p>
        </w:tc>
      </w:tr>
      <w:tr>
        <w:trPr/>
        <w:tc>
          <w:tcPr>
            <w:tcW w:w="1774" w:type="dxa"/>
            <w:tcBorders/>
            <w:vAlign w:val="center"/>
          </w:tcPr>
          <w:p>
            <w:pPr>
              <w:pStyle w:val="TableContents"/>
              <w:bidi w:val="0"/>
              <w:spacing w:before="0" w:after="0"/>
              <w:jc w:val="center"/>
              <w:rPr>
                <w:rFonts w:ascii="arial" w:hAnsi="arial"/>
                <w:color w:val="1070B8"/>
                <w:sz w:val="24"/>
              </w:rPr>
            </w:pPr>
            <w:r>
              <w:rPr>
                <w:rFonts w:ascii="arial" w:hAnsi="arial"/>
                <w:color w:val="1070B8"/>
                <w:sz w:val="24"/>
              </w:rPr>
              <w:t>5.9% increase</w:t>
            </w:r>
          </w:p>
          <w:p>
            <w:pPr>
              <w:pStyle w:val="TableContents"/>
              <w:bidi w:val="0"/>
              <w:spacing w:before="0" w:after="20"/>
              <w:jc w:val="left"/>
              <w:rPr/>
            </w:pPr>
            <w:r>
              <w:rPr/>
              <w:t> </w:t>
            </w:r>
          </w:p>
        </w:tc>
        <w:tc>
          <w:tcPr>
            <w:tcW w:w="60" w:type="dxa"/>
            <w:tcBorders>
              <w:left w:val="single" w:sz="6" w:space="0" w:color="1070B8"/>
            </w:tcBorders>
            <w:tcMar>
              <w:left w:w="28" w:type="dxa"/>
            </w:tcMar>
            <w:vAlign w:val="center"/>
          </w:tcPr>
          <w:p>
            <w:pPr>
              <w:pStyle w:val="TableContents"/>
              <w:bidi w:val="0"/>
              <w:spacing w:before="0" w:after="283"/>
              <w:jc w:val="left"/>
              <w:rPr/>
            </w:pPr>
            <w:r>
              <w:rPr/>
              <w:t> </w:t>
            </w:r>
          </w:p>
        </w:tc>
        <w:tc>
          <w:tcPr>
            <w:tcW w:w="1635" w:type="dxa"/>
            <w:tcBorders>
              <w:right w:val="single" w:sz="6" w:space="0" w:color="1070B8"/>
            </w:tcBorders>
            <w:tcMar>
              <w:right w:w="28" w:type="dxa"/>
            </w:tcMar>
            <w:vAlign w:val="center"/>
          </w:tcPr>
          <w:p>
            <w:pPr>
              <w:pStyle w:val="TableContents"/>
              <w:bidi w:val="0"/>
              <w:spacing w:before="0" w:after="0"/>
              <w:jc w:val="center"/>
              <w:rPr>
                <w:rFonts w:ascii="arial" w:hAnsi="arial"/>
                <w:color w:val="1070B8"/>
                <w:sz w:val="24"/>
              </w:rPr>
            </w:pPr>
            <w:r>
              <w:rPr>
                <w:rFonts w:ascii="arial" w:hAnsi="arial"/>
                <w:color w:val="1070B8"/>
                <w:sz w:val="24"/>
              </w:rPr>
              <w:t>6.9% increase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center"/>
              <w:rPr>
                <w:rFonts w:ascii="arial" w:hAnsi="arial"/>
                <w:color w:val="1070B8"/>
                <w:sz w:val="24"/>
              </w:rPr>
            </w:pPr>
            <w:r>
              <w:rPr>
                <w:rFonts w:ascii="arial" w:hAnsi="arial"/>
                <w:color w:val="1070B8"/>
                <w:sz w:val="24"/>
              </w:rPr>
              <w:t>5.3% increase</w:t>
            </w:r>
          </w:p>
          <w:p>
            <w:pPr>
              <w:pStyle w:val="TableContents"/>
              <w:bidi w:val="0"/>
              <w:spacing w:before="0" w:after="20"/>
              <w:jc w:val="left"/>
              <w:rPr/>
            </w:pPr>
            <w:r>
              <w:rPr/>
              <w:t> </w:t>
            </w:r>
          </w:p>
        </w:tc>
        <w:tc>
          <w:tcPr>
            <w:tcW w:w="120" w:type="dxa"/>
            <w:tcBorders>
              <w:left w:val="single" w:sz="6" w:space="0" w:color="1070B8"/>
            </w:tcBorders>
            <w:tcMar>
              <w:left w:w="28" w:type="dxa"/>
            </w:tcMar>
            <w:vAlign w:val="center"/>
          </w:tcPr>
          <w:p>
            <w:pPr>
              <w:pStyle w:val="TableContents"/>
              <w:bidi w:val="0"/>
              <w:spacing w:before="0" w:after="283"/>
              <w:jc w:val="left"/>
              <w:rPr/>
            </w:pPr>
            <w:r>
              <w:rPr/>
              <w:t>  </w:t>
            </w:r>
          </w:p>
        </w:tc>
        <w:tc>
          <w:tcPr>
            <w:tcW w:w="2399" w:type="dxa"/>
            <w:tcBorders>
              <w:right w:val="single" w:sz="6" w:space="0" w:color="1070B8"/>
            </w:tcBorders>
            <w:tcMar>
              <w:right w:w="28" w:type="dxa"/>
            </w:tcMar>
            <w:vAlign w:val="center"/>
          </w:tcPr>
          <w:p>
            <w:pPr>
              <w:pStyle w:val="TableContents"/>
              <w:bidi w:val="0"/>
              <w:spacing w:before="0" w:after="0"/>
              <w:jc w:val="center"/>
              <w:rPr>
                <w:rFonts w:ascii="arial" w:hAnsi="arial"/>
                <w:color w:val="1070B8"/>
                <w:sz w:val="24"/>
              </w:rPr>
            </w:pPr>
            <w:r>
              <w:rPr>
                <w:rFonts w:ascii="arial" w:hAnsi="arial"/>
                <w:color w:val="1070B8"/>
                <w:sz w:val="24"/>
              </w:rPr>
              <w:t>5.7% increase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487" w:type="dxa"/>
            <w:tcBorders/>
            <w:vAlign w:val="center"/>
          </w:tcPr>
          <w:p>
            <w:pPr>
              <w:pStyle w:val="TableContents"/>
              <w:bidi w:val="0"/>
              <w:spacing w:before="0" w:after="0"/>
              <w:jc w:val="center"/>
              <w:rPr>
                <w:rFonts w:ascii="arial" w:hAnsi="arial"/>
                <w:color w:val="1070B8"/>
                <w:sz w:val="24"/>
              </w:rPr>
            </w:pPr>
            <w:r>
              <w:rPr>
                <w:rFonts w:ascii="arial" w:hAnsi="arial"/>
                <w:color w:val="1070B8"/>
                <w:sz w:val="24"/>
              </w:rPr>
              <w:t>5.2% increase</w:t>
            </w:r>
          </w:p>
          <w:p>
            <w:pPr>
              <w:pStyle w:val="TableContents"/>
              <w:bidi w:val="0"/>
              <w:spacing w:before="0" w:after="20"/>
              <w:jc w:val="left"/>
              <w:rPr/>
            </w:pPr>
            <w:r>
              <w:rPr/>
              <w:t> </w:t>
            </w:r>
          </w:p>
        </w:tc>
      </w:tr>
      <w:tr>
        <w:trPr/>
        <w:tc>
          <w:tcPr>
            <w:tcW w:w="1774"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635"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55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2399"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2487" w:type="dxa"/>
            <w:tcBorders>
              <w:bottom w:val="single" w:sz="12" w:space="0" w:color="1070B8"/>
            </w:tcBorders>
            <w:tcMar>
              <w:bottom w:w="28" w:type="dxa"/>
            </w:tcMar>
            <w:vAlign w:val="center"/>
          </w:tcPr>
          <w:p>
            <w:pPr>
              <w:pStyle w:val="TableContents"/>
              <w:bidi w:val="0"/>
              <w:spacing w:before="0" w:after="283"/>
              <w:jc w:val="left"/>
              <w:rPr/>
            </w:pPr>
            <w:r>
              <w:rPr/>
              <w:t> </w:t>
            </w:r>
          </w:p>
        </w:tc>
      </w:tr>
    </w:tbl>
    <w:p>
      <w:pPr>
        <w:pStyle w:val="TextBody"/>
        <w:bidi w:val="0"/>
        <w:spacing w:before="280" w:after="0"/>
        <w:jc w:val="left"/>
        <w:rPr>
          <w:rFonts w:ascii="arial" w:hAnsi="arial"/>
          <w:sz w:val="20"/>
        </w:rPr>
      </w:pPr>
      <w:r>
        <w:rPr>
          <w:rFonts w:ascii="arial" w:hAnsi="arial"/>
          <w:sz w:val="20"/>
        </w:rPr>
        <w:t>*See “</w:t>
      </w:r>
      <w:r>
        <w:rPr>
          <w:rFonts w:ascii="arial" w:hAnsi="arial"/>
          <w:i/>
          <w:sz w:val="20"/>
        </w:rPr>
        <w:t>Additional Information – Use of Non-GAAP Financial Measures</w:t>
      </w:r>
      <w:r>
        <w:rPr>
          <w:rFonts w:ascii="arial" w:hAnsi="arial"/>
          <w:sz w:val="20"/>
        </w:rPr>
        <w:t xml:space="preserve">” for a reconciliation of Adjusted EBITDA to the most directly comparable U.S. generally accepted accounting principles (“GAAP”) measure. Figures above reflect year over year increases.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Proxy Summary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8" w:name="toc849638_7"/>
      <w:bookmarkEnd w:id="8"/>
      <w:r>
        <w:rPr>
          <w:rFonts w:ascii="arial" w:hAnsi="arial"/>
          <w:b/>
          <w:color w:val="1F295C"/>
          <w:sz w:val="24"/>
        </w:rPr>
        <w:t xml:space="preserve">Corporate Responsibility </w:t>
      </w:r>
    </w:p>
    <w:p>
      <w:pPr>
        <w:pStyle w:val="TextBody"/>
        <w:bidi w:val="0"/>
        <w:spacing w:before="280" w:after="0"/>
        <w:jc w:val="left"/>
        <w:rPr>
          <w:rFonts w:ascii="arial" w:hAnsi="arial"/>
          <w:sz w:val="20"/>
        </w:rPr>
      </w:pPr>
      <w:r>
        <w:rPr>
          <w:rFonts w:ascii="arial" w:hAnsi="arial"/>
          <w:sz w:val="20"/>
        </w:rPr>
        <w:t xml:space="preserve">We recognize the importance of our environmental and social responsibilities and their impact on our stockholders, our customers, our employees and our communities. Good corporate citizenship is important to us and we are committed to promoting a culture of doing what is right and investing in the communities where we live and work. We integrate corporate responsibility every day through making buildings energy efficient, providing for the health, safety and welfare of our employees, advocating volunteerism and committing to philanthropy.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24"/>
        <w:gridCol w:w="68"/>
        <w:gridCol w:w="2189"/>
        <w:gridCol w:w="120"/>
        <w:gridCol w:w="880"/>
        <w:gridCol w:w="67"/>
        <w:gridCol w:w="1811"/>
        <w:gridCol w:w="120"/>
        <w:gridCol w:w="1062"/>
        <w:gridCol w:w="77"/>
        <w:gridCol w:w="2887"/>
      </w:tblGrid>
      <w:tr>
        <w:trPr/>
        <w:tc>
          <w:tcPr>
            <w:tcW w:w="92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r>
      <w:tr>
        <w:trPr/>
        <w:tc>
          <w:tcPr>
            <w:tcW w:w="924" w:type="dxa"/>
            <w:tcBorders/>
            <w:vAlign w:val="center"/>
          </w:tcPr>
          <w:p>
            <w:pPr>
              <w:pStyle w:val="TableContents"/>
              <w:bidi w:val="0"/>
              <w:spacing w:before="0" w:after="283"/>
              <w:jc w:val="center"/>
              <w:rPr/>
            </w:pPr>
            <w:r>
              <w:rPr/>
              <w:drawing>
                <wp:inline distT="0" distB="0" distL="0" distR="0">
                  <wp:extent cx="457835" cy="45783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457835" cy="457835"/>
                          </a:xfrm>
                          <a:prstGeom prst="rect">
                            <a:avLst/>
                          </a:prstGeom>
                        </pic:spPr>
                      </pic:pic>
                    </a:graphicData>
                  </a:graphic>
                </wp:inline>
              </w:drawing>
            </w:r>
            <w:r>
              <w:rPr/>
              <w:t xml:space="preserve">  </w:t>
            </w:r>
          </w:p>
        </w:tc>
        <w:tc>
          <w:tcPr>
            <w:tcW w:w="68" w:type="dxa"/>
            <w:tcBorders/>
            <w:vAlign w:val="center"/>
          </w:tcPr>
          <w:p>
            <w:pPr>
              <w:pStyle w:val="TableContents"/>
              <w:bidi w:val="0"/>
              <w:spacing w:before="0" w:after="283"/>
              <w:jc w:val="left"/>
              <w:rPr/>
            </w:pPr>
            <w:r>
              <w:rPr/>
              <w:t> </w:t>
            </w:r>
          </w:p>
        </w:tc>
        <w:tc>
          <w:tcPr>
            <w:tcW w:w="2189" w:type="dxa"/>
            <w:tcBorders/>
            <w:vAlign w:val="center"/>
          </w:tcPr>
          <w:p>
            <w:pPr>
              <w:pStyle w:val="TableContents"/>
              <w:bidi w:val="0"/>
              <w:spacing w:before="0" w:after="0"/>
              <w:jc w:val="left"/>
              <w:rPr>
                <w:rFonts w:ascii="arial" w:hAnsi="arial"/>
                <w:b/>
                <w:color w:val="1070B8"/>
                <w:sz w:val="24"/>
              </w:rPr>
            </w:pPr>
            <w:r>
              <w:rPr>
                <w:rFonts w:ascii="arial" w:hAnsi="arial"/>
                <w:b/>
                <w:color w:val="1070B8"/>
                <w:sz w:val="24"/>
              </w:rPr>
              <w:t>GOING BEYOND</w:t>
            </w:r>
          </w:p>
          <w:p>
            <w:pPr>
              <w:pStyle w:val="TableContents"/>
              <w:bidi w:val="0"/>
              <w:spacing w:before="0" w:after="0"/>
              <w:jc w:val="left"/>
              <w:rPr>
                <w:rFonts w:ascii="arial" w:hAnsi="arial"/>
                <w:b/>
                <w:color w:val="1070B8"/>
                <w:sz w:val="24"/>
              </w:rPr>
            </w:pPr>
            <w:r>
              <w:rPr>
                <w:rFonts w:ascii="arial" w:hAnsi="arial"/>
                <w:b/>
                <w:color w:val="1070B8"/>
                <w:sz w:val="24"/>
              </w:rPr>
              <w:t>THE BUILDINGS</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drawing>
                <wp:inline distT="0" distB="0" distL="0" distR="0">
                  <wp:extent cx="457835" cy="45783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457835" cy="457835"/>
                          </a:xfrm>
                          <a:prstGeom prst="rect">
                            <a:avLst/>
                          </a:prstGeom>
                        </pic:spPr>
                      </pic:pic>
                    </a:graphicData>
                  </a:graphic>
                </wp:inline>
              </w:drawing>
            </w:r>
            <w:r>
              <w:rPr/>
              <w:t xml:space="preserve">  </w:t>
            </w:r>
          </w:p>
        </w:tc>
        <w:tc>
          <w:tcPr>
            <w:tcW w:w="67" w:type="dxa"/>
            <w:tcBorders/>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0"/>
              <w:jc w:val="left"/>
              <w:rPr>
                <w:rFonts w:ascii="arial" w:hAnsi="arial"/>
                <w:b/>
                <w:color w:val="1070B8"/>
                <w:sz w:val="24"/>
              </w:rPr>
            </w:pPr>
            <w:r>
              <w:rPr>
                <w:rFonts w:ascii="arial" w:hAnsi="arial"/>
                <w:b/>
                <w:color w:val="1070B8"/>
                <w:sz w:val="24"/>
              </w:rPr>
              <w:t>COMMITTING</w:t>
            </w:r>
          </w:p>
          <w:p>
            <w:pPr>
              <w:pStyle w:val="TableContents"/>
              <w:bidi w:val="0"/>
              <w:spacing w:before="0" w:after="0"/>
              <w:jc w:val="left"/>
              <w:rPr>
                <w:rFonts w:ascii="arial" w:hAnsi="arial"/>
                <w:b/>
                <w:color w:val="1070B8"/>
                <w:sz w:val="24"/>
              </w:rPr>
            </w:pPr>
            <w:r>
              <w:rPr>
                <w:rFonts w:ascii="arial" w:hAnsi="arial"/>
                <w:b/>
                <w:color w:val="1070B8"/>
                <w:sz w:val="24"/>
              </w:rPr>
              <w:t>TO OUR PEOPLE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0"/>
              <w:jc w:val="center"/>
              <w:rPr/>
            </w:pPr>
            <w:r>
              <w:rPr/>
              <w:drawing>
                <wp:inline distT="0" distB="0" distL="0" distR="0">
                  <wp:extent cx="457835" cy="45783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457835" cy="457835"/>
                          </a:xfrm>
                          <a:prstGeom prst="rect">
                            <a:avLst/>
                          </a:prstGeom>
                        </pic:spPr>
                      </pic:pic>
                    </a:graphicData>
                  </a:graphic>
                </wp:inline>
              </w:drawing>
            </w:r>
            <w:r>
              <w:rPr/>
              <w:t xml:space="preserve">  </w:t>
            </w:r>
          </w:p>
        </w:tc>
        <w:tc>
          <w:tcPr>
            <w:tcW w:w="77" w:type="dxa"/>
            <w:tcBorders/>
            <w:vAlign w:val="center"/>
          </w:tcPr>
          <w:p>
            <w:pPr>
              <w:pStyle w:val="TableContents"/>
              <w:bidi w:val="0"/>
              <w:spacing w:before="0" w:after="283"/>
              <w:jc w:val="left"/>
              <w:rPr/>
            </w:pPr>
            <w:r>
              <w:rPr/>
              <w:t> </w:t>
            </w:r>
          </w:p>
        </w:tc>
        <w:tc>
          <w:tcPr>
            <w:tcW w:w="2887" w:type="dxa"/>
            <w:tcBorders/>
            <w:vAlign w:val="center"/>
          </w:tcPr>
          <w:p>
            <w:pPr>
              <w:pStyle w:val="TableContents"/>
              <w:bidi w:val="0"/>
              <w:spacing w:before="0" w:after="0"/>
              <w:jc w:val="left"/>
              <w:rPr>
                <w:rFonts w:ascii="arial" w:hAnsi="arial"/>
                <w:b/>
                <w:color w:val="1070B8"/>
                <w:sz w:val="24"/>
              </w:rPr>
            </w:pPr>
            <w:r>
              <w:rPr>
                <w:rFonts w:ascii="arial" w:hAnsi="arial"/>
                <w:b/>
                <w:color w:val="1070B8"/>
                <w:sz w:val="24"/>
              </w:rPr>
              <w:t>ELEVATING OUR</w:t>
            </w:r>
          </w:p>
          <w:p>
            <w:pPr>
              <w:pStyle w:val="TableContents"/>
              <w:bidi w:val="0"/>
              <w:spacing w:before="0" w:after="0"/>
              <w:jc w:val="left"/>
              <w:rPr>
                <w:rFonts w:ascii="arial" w:hAnsi="arial"/>
                <w:b/>
                <w:color w:val="1070B8"/>
                <w:sz w:val="24"/>
              </w:rPr>
            </w:pPr>
            <w:r>
              <w:rPr>
                <w:rFonts w:ascii="arial" w:hAnsi="arial"/>
                <w:b/>
                <w:color w:val="1070B8"/>
                <w:sz w:val="24"/>
              </w:rPr>
              <w:t>NEIGHBORHOODS</w:t>
            </w:r>
          </w:p>
          <w:p>
            <w:pPr>
              <w:pStyle w:val="TableContents"/>
              <w:bidi w:val="0"/>
              <w:spacing w:before="0" w:after="20"/>
              <w:jc w:val="left"/>
              <w:rPr/>
            </w:pPr>
            <w:r>
              <w:rPr/>
              <w:t> </w:t>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2878" w:type="dxa"/>
            <w:gridSpan w:val="4"/>
            <w:tcBorders/>
            <w:vAlign w:val="center"/>
          </w:tcPr>
          <w:p>
            <w:pPr>
              <w:pStyle w:val="TableContents"/>
              <w:bidi w:val="0"/>
              <w:spacing w:before="0" w:after="283"/>
              <w:jc w:val="left"/>
              <w:rPr>
                <w:sz w:val="4"/>
                <w:szCs w:val="4"/>
              </w:rPr>
            </w:pPr>
            <w:r>
              <w:rPr>
                <w:sz w:val="4"/>
                <w:szCs w:val="4"/>
              </w:rPr>
            </w:r>
          </w:p>
        </w:tc>
        <w:tc>
          <w:tcPr>
            <w:tcW w:w="4146" w:type="dxa"/>
            <w:gridSpan w:val="4"/>
            <w:tcBorders/>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0"/>
              <w:jc w:val="left"/>
              <w:rPr/>
            </w:pPr>
            <w:r>
              <w:rPr/>
              <w:t>●   </w:t>
            </w:r>
            <w:r>
              <w:rPr>
                <w:rFonts w:ascii="arial" w:hAnsi="arial"/>
                <w:sz w:val="20"/>
              </w:rPr>
              <w:t>We released our annual Environmental, Social and Governance Report (“Sustainability Report”) in November 2024.</w:t>
            </w:r>
          </w:p>
          <w:p>
            <w:pPr>
              <w:pStyle w:val="TableContents"/>
              <w:bidi w:val="0"/>
              <w:spacing w:before="0" w:after="0"/>
              <w:jc w:val="left"/>
              <w:rPr/>
            </w:pPr>
            <w:r>
              <w:rPr/>
              <w:t>●   </w:t>
            </w:r>
            <w:r>
              <w:rPr>
                <w:rFonts w:ascii="arial" w:hAnsi="arial"/>
                <w:sz w:val="20"/>
              </w:rPr>
              <w:t>We play a direct role in creating a sustainable future by installing products that promote energy efficiency and reduce energy consumption.</w:t>
            </w:r>
          </w:p>
          <w:p>
            <w:pPr>
              <w:pStyle w:val="TableContents"/>
              <w:bidi w:val="0"/>
              <w:spacing w:before="0" w:after="0"/>
              <w:jc w:val="left"/>
              <w:rPr/>
            </w:pPr>
            <w:r>
              <w:rPr/>
              <w:t>●   </w:t>
            </w:r>
            <w:r>
              <w:rPr>
                <w:rFonts w:ascii="arial" w:hAnsi="arial"/>
                <w:sz w:val="20"/>
              </w:rPr>
              <w:t>We have transitioned a substantial portion of our electricity needs to a carbon free source.</w:t>
            </w:r>
          </w:p>
          <w:p>
            <w:pPr>
              <w:pStyle w:val="TableContents"/>
              <w:bidi w:val="0"/>
              <w:spacing w:before="0" w:after="20"/>
              <w:jc w:val="left"/>
              <w:rPr/>
            </w:pPr>
            <w:r>
              <w:rPr/>
              <w:t>●   </w:t>
            </w:r>
            <w:r>
              <w:rPr>
                <w:rFonts w:ascii="arial" w:hAnsi="arial"/>
                <w:sz w:val="20"/>
              </w:rPr>
              <w:t>We maintain a national waste management program to increase recycling at our branches nationwide to reduce landfill waste.</w:t>
            </w:r>
          </w:p>
        </w:tc>
        <w:tc>
          <w:tcPr>
            <w:tcW w:w="120" w:type="dxa"/>
            <w:tcBorders/>
            <w:vAlign w:val="center"/>
          </w:tcPr>
          <w:p>
            <w:pPr>
              <w:pStyle w:val="TableContents"/>
              <w:bidi w:val="0"/>
              <w:spacing w:before="0" w:after="283"/>
              <w:jc w:val="left"/>
              <w:rPr/>
            </w:pPr>
            <w:r>
              <w:rPr/>
              <w:t>  </w:t>
            </w:r>
          </w:p>
        </w:tc>
        <w:tc>
          <w:tcPr>
            <w:tcW w:w="2758" w:type="dxa"/>
            <w:gridSpan w:val="3"/>
            <w:tcBorders/>
            <w:vAlign w:val="center"/>
          </w:tcPr>
          <w:p>
            <w:pPr>
              <w:pStyle w:val="TableContents"/>
              <w:bidi w:val="0"/>
              <w:spacing w:before="0" w:after="0"/>
              <w:jc w:val="left"/>
              <w:rPr>
                <w:rFonts w:ascii="arial" w:hAnsi="arial"/>
                <w:sz w:val="20"/>
              </w:rPr>
            </w:pPr>
            <w:r>
              <w:rPr>
                <w:rFonts w:ascii="arial" w:hAnsi="arial"/>
                <w:sz w:val="20"/>
              </w:rPr>
              <w:t>Our vision is to foster a culture that values inclusion and employee engagement. Our initiatives include:</w:t>
            </w:r>
          </w:p>
          <w:p>
            <w:pPr>
              <w:pStyle w:val="TableContents"/>
              <w:bidi w:val="0"/>
              <w:spacing w:before="0" w:after="0"/>
              <w:jc w:val="left"/>
              <w:rPr/>
            </w:pPr>
            <w:r>
              <w:rPr/>
              <w:t>●   </w:t>
            </w:r>
            <w:r>
              <w:rPr>
                <w:rFonts w:ascii="arial" w:hAnsi="arial"/>
                <w:sz w:val="20"/>
              </w:rPr>
              <w:t xml:space="preserve">Leadership training and development programs </w:t>
            </w:r>
          </w:p>
          <w:p>
            <w:pPr>
              <w:pStyle w:val="TableContents"/>
              <w:bidi w:val="0"/>
              <w:spacing w:before="0" w:after="0"/>
              <w:jc w:val="left"/>
              <w:rPr/>
            </w:pPr>
            <w:r>
              <w:rPr/>
              <w:t>●   </w:t>
            </w:r>
            <w:r>
              <w:rPr>
                <w:rFonts w:ascii="arial" w:hAnsi="arial"/>
                <w:sz w:val="20"/>
              </w:rPr>
              <w:t xml:space="preserve">Building an expanded hiring pipeline </w:t>
            </w:r>
          </w:p>
          <w:p>
            <w:pPr>
              <w:pStyle w:val="TableContents"/>
              <w:bidi w:val="0"/>
              <w:spacing w:before="0" w:after="0"/>
              <w:jc w:val="left"/>
              <w:rPr/>
            </w:pPr>
            <w:r>
              <w:rPr/>
              <w:t>●   </w:t>
            </w:r>
            <w:r>
              <w:rPr>
                <w:rFonts w:ascii="arial" w:hAnsi="arial"/>
                <w:sz w:val="20"/>
              </w:rPr>
              <w:t>Conducting employee focus groups to understand employee perceptions throughout the Company</w:t>
            </w:r>
          </w:p>
          <w:p>
            <w:pPr>
              <w:pStyle w:val="TableContents"/>
              <w:bidi w:val="0"/>
              <w:spacing w:before="0" w:after="0"/>
              <w:jc w:val="left"/>
              <w:rPr/>
            </w:pPr>
            <w:r>
              <w:rPr/>
              <w:t>●   </w:t>
            </w:r>
            <w:r>
              <w:rPr>
                <w:rFonts w:ascii="arial" w:hAnsi="arial"/>
                <w:sz w:val="20"/>
              </w:rPr>
              <w:t>Broadcasting our Positive Production Program videos to educate and encourage inclusion and employee well-being</w:t>
            </w:r>
          </w:p>
          <w:p>
            <w:pPr>
              <w:pStyle w:val="TableContents"/>
              <w:bidi w:val="0"/>
              <w:spacing w:before="0" w:after="20"/>
              <w:jc w:val="left"/>
              <w:rPr/>
            </w:pPr>
            <w:r>
              <w:rPr/>
              <w:t>●   </w:t>
            </w:r>
            <w:r>
              <w:rPr>
                <w:rFonts w:ascii="arial" w:hAnsi="arial"/>
                <w:sz w:val="20"/>
              </w:rPr>
              <w:t>Offering both English and Spanish as a Second Language classes to remove communication hurdles among our workforce</w:t>
            </w:r>
          </w:p>
        </w:tc>
        <w:tc>
          <w:tcPr>
            <w:tcW w:w="120" w:type="dxa"/>
            <w:tcBorders/>
            <w:vAlign w:val="center"/>
          </w:tcPr>
          <w:p>
            <w:pPr>
              <w:pStyle w:val="TableContents"/>
              <w:bidi w:val="0"/>
              <w:spacing w:before="0" w:after="283"/>
              <w:jc w:val="left"/>
              <w:rPr/>
            </w:pPr>
            <w:r>
              <w:rPr/>
              <w:t>  </w:t>
            </w:r>
          </w:p>
        </w:tc>
        <w:tc>
          <w:tcPr>
            <w:tcW w:w="4026" w:type="dxa"/>
            <w:gridSpan w:val="3"/>
            <w:tcBorders/>
            <w:vAlign w:val="center"/>
          </w:tcPr>
          <w:p>
            <w:pPr>
              <w:pStyle w:val="TableContents"/>
              <w:bidi w:val="0"/>
              <w:spacing w:before="0" w:after="0"/>
              <w:jc w:val="left"/>
              <w:rPr>
                <w:rFonts w:ascii="arial" w:hAnsi="arial"/>
                <w:sz w:val="20"/>
              </w:rPr>
            </w:pPr>
            <w:r>
              <w:rPr>
                <w:rFonts w:ascii="arial" w:hAnsi="arial"/>
                <w:sz w:val="20"/>
              </w:rPr>
              <w:t>Installed Building Products Foundation (“Foundation”) grants since inception (dollar amounts approximate):</w:t>
            </w:r>
          </w:p>
          <w:p>
            <w:pPr>
              <w:pStyle w:val="TableContents"/>
              <w:bidi w:val="0"/>
              <w:spacing w:before="0" w:after="0"/>
              <w:jc w:val="left"/>
              <w:rPr/>
            </w:pPr>
            <w:r>
              <w:rPr/>
              <w:t>●   </w:t>
            </w:r>
            <w:r>
              <w:rPr>
                <w:rFonts w:ascii="arial" w:hAnsi="arial"/>
                <w:sz w:val="20"/>
              </w:rPr>
              <w:t>Scholarships $5.1 million (423 grants)</w:t>
            </w:r>
          </w:p>
          <w:p>
            <w:pPr>
              <w:pStyle w:val="TableContents"/>
              <w:bidi w:val="0"/>
              <w:spacing w:before="0" w:after="0"/>
              <w:jc w:val="left"/>
              <w:rPr/>
            </w:pPr>
            <w:r>
              <w:rPr/>
              <w:t>●   </w:t>
            </w:r>
            <w:r>
              <w:rPr>
                <w:rFonts w:ascii="arial" w:hAnsi="arial"/>
                <w:sz w:val="20"/>
              </w:rPr>
              <w:t>Charitable Giving Match $48,936 (137 matches)</w:t>
            </w:r>
          </w:p>
          <w:p>
            <w:pPr>
              <w:pStyle w:val="TableContents"/>
              <w:bidi w:val="0"/>
              <w:spacing w:before="0" w:after="0"/>
              <w:jc w:val="left"/>
              <w:rPr/>
            </w:pPr>
            <w:r>
              <w:rPr/>
              <w:t>●   </w:t>
            </w:r>
            <w:r>
              <w:rPr>
                <w:rFonts w:ascii="arial" w:hAnsi="arial"/>
                <w:sz w:val="20"/>
              </w:rPr>
              <w:t xml:space="preserve">Employee Financial Assistance $706,850 (850 grants) </w:t>
            </w:r>
          </w:p>
          <w:p>
            <w:pPr>
              <w:pStyle w:val="TableContents"/>
              <w:bidi w:val="0"/>
              <w:spacing w:before="0" w:after="0"/>
              <w:jc w:val="left"/>
              <w:rPr/>
            </w:pPr>
            <w:r>
              <w:rPr/>
              <w:t>●   </w:t>
            </w:r>
            <w:r>
              <w:rPr>
                <w:rFonts w:ascii="arial" w:hAnsi="arial"/>
                <w:sz w:val="20"/>
              </w:rPr>
              <w:t>Major Grants Program $4.6 million (108 grants)</w:t>
            </w:r>
          </w:p>
          <w:p>
            <w:pPr>
              <w:pStyle w:val="TableContents"/>
              <w:bidi w:val="0"/>
              <w:spacing w:before="0" w:after="20"/>
              <w:jc w:val="left"/>
              <w:rPr>
                <w:rFonts w:ascii="arial" w:hAnsi="arial"/>
                <w:sz w:val="20"/>
              </w:rPr>
            </w:pPr>
            <w:r>
              <w:rPr>
                <w:rFonts w:ascii="arial" w:hAnsi="arial"/>
                <w:sz w:val="20"/>
              </w:rPr>
              <w:t>Corporate giving, including multi-year commitments to The Gary Sinise Foundation’s R.I.S.E. Program, the Columbus Metropolitan Library Foundation, YWCA of Central Ohio, Junior Achievement of Central Ohio, The Columbus Promise, Besa Community, Inc. and Zora’s House.</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Proxy Summary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9" w:name="toc849638_8"/>
      <w:bookmarkEnd w:id="9"/>
      <w:r>
        <w:rPr>
          <w:rFonts w:ascii="arial" w:hAnsi="arial"/>
          <w:b/>
          <w:color w:val="1F295C"/>
          <w:sz w:val="24"/>
        </w:rPr>
        <w:t xml:space="preserve">Board of Directors Composition and Qualifications </w:t>
      </w:r>
    </w:p>
    <w:p>
      <w:pPr>
        <w:pStyle w:val="TextBody"/>
        <w:bidi w:val="0"/>
        <w:spacing w:before="240" w:after="0"/>
        <w:jc w:val="left"/>
        <w:rPr>
          <w:rFonts w:ascii="arial" w:hAnsi="arial"/>
          <w:sz w:val="20"/>
        </w:rPr>
      </w:pPr>
      <w:r>
        <w:rPr>
          <w:rFonts w:ascii="arial" w:hAnsi="arial"/>
          <w:sz w:val="20"/>
        </w:rPr>
        <w:t xml:space="preserve">Our Board of Directors (“Board”) is expected to represent a broad spectrum of age, gender, racial and ethnic backgrounds and experience. Our goal is to ensure that the Board is comprised of individuals whose backgrounds, skills and expertise, when taken together, provide the Board with the range of skills and expertise necessary to oversee the Company’s strategy, operations and risk management. </w:t>
      </w:r>
    </w:p>
    <w:p>
      <w:pPr>
        <w:pStyle w:val="TextBody"/>
        <w:bidi w:val="0"/>
        <w:spacing w:before="240" w:after="0"/>
        <w:jc w:val="left"/>
        <w:rPr>
          <w:rFonts w:ascii="arial" w:hAnsi="arial"/>
          <w:color w:val="1070B8"/>
          <w:sz w:val="20"/>
        </w:rPr>
      </w:pPr>
      <w:r>
        <w:rPr>
          <w:rFonts w:ascii="arial" w:hAnsi="arial"/>
          <w:color w:val="1070B8"/>
          <w:sz w:val="20"/>
        </w:rPr>
        <w:t xml:space="preserve">Board Composition </w:t>
      </w:r>
    </w:p>
    <w:p>
      <w:pPr>
        <w:pStyle w:val="TextBody"/>
        <w:bidi w:val="0"/>
        <w:spacing w:before="0" w:after="0"/>
        <w:jc w:val="left"/>
        <w:rPr/>
      </w:pPr>
      <w:r>
        <w:rPr/>
        <w:t> </w:t>
      </w:r>
    </w:p>
    <w:tbl>
      <w:tblPr>
        <w:tblW w:w="8937" w:type="dxa"/>
        <w:jc w:val="left"/>
        <w:tblInd w:w="0" w:type="dxa"/>
        <w:tblLayout w:type="fixed"/>
        <w:tblCellMar>
          <w:top w:w="0" w:type="dxa"/>
          <w:left w:w="0" w:type="dxa"/>
          <w:bottom w:w="0" w:type="dxa"/>
          <w:right w:w="0" w:type="dxa"/>
        </w:tblCellMar>
      </w:tblPr>
      <w:tblGrid>
        <w:gridCol w:w="2640"/>
        <w:gridCol w:w="153"/>
        <w:gridCol w:w="556"/>
        <w:gridCol w:w="60"/>
        <w:gridCol w:w="120"/>
        <w:gridCol w:w="60"/>
        <w:gridCol w:w="1959"/>
        <w:gridCol w:w="103"/>
        <w:gridCol w:w="372"/>
        <w:gridCol w:w="60"/>
        <w:gridCol w:w="120"/>
        <w:gridCol w:w="60"/>
        <w:gridCol w:w="764"/>
        <w:gridCol w:w="70"/>
        <w:gridCol w:w="1840"/>
      </w:tblGrid>
      <w:tr>
        <w:trPr/>
        <w:tc>
          <w:tcPr>
            <w:tcW w:w="264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2640" w:type="dxa"/>
            <w:tcBorders/>
            <w:shd w:fill="1070B8" w:val="clear"/>
            <w:vAlign w:val="center"/>
          </w:tcPr>
          <w:p>
            <w:pPr>
              <w:pStyle w:val="TableContents"/>
              <w:bidi w:val="0"/>
              <w:spacing w:before="0" w:after="283"/>
              <w:jc w:val="left"/>
              <w:rPr>
                <w:sz w:val="4"/>
                <w:szCs w:val="4"/>
              </w:rPr>
            </w:pPr>
            <w:r>
              <w:rPr>
                <w:sz w:val="4"/>
                <w:szCs w:val="4"/>
              </w:rPr>
            </w:r>
          </w:p>
        </w:tc>
        <w:tc>
          <w:tcPr>
            <w:tcW w:w="153" w:type="dxa"/>
            <w:tcBorders/>
            <w:shd w:fill="1070B8" w:val="clear"/>
            <w:vAlign w:val="center"/>
          </w:tcPr>
          <w:p>
            <w:pPr>
              <w:pStyle w:val="TableContents"/>
              <w:bidi w:val="0"/>
              <w:spacing w:before="0" w:after="283"/>
              <w:jc w:val="left"/>
              <w:rPr/>
            </w:pPr>
            <w:r>
              <w:rPr/>
              <w:t> </w:t>
            </w:r>
          </w:p>
        </w:tc>
        <w:tc>
          <w:tcPr>
            <w:tcW w:w="556"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120"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1959" w:type="dxa"/>
            <w:tcBorders/>
            <w:shd w:fill="1070B8" w:val="clear"/>
            <w:vAlign w:val="center"/>
          </w:tcPr>
          <w:p>
            <w:pPr>
              <w:pStyle w:val="TableContents"/>
              <w:bidi w:val="0"/>
              <w:spacing w:before="0" w:after="283"/>
              <w:jc w:val="left"/>
              <w:rPr>
                <w:sz w:val="4"/>
                <w:szCs w:val="4"/>
              </w:rPr>
            </w:pPr>
            <w:r>
              <w:rPr>
                <w:sz w:val="4"/>
                <w:szCs w:val="4"/>
              </w:rPr>
            </w:r>
          </w:p>
        </w:tc>
        <w:tc>
          <w:tcPr>
            <w:tcW w:w="103" w:type="dxa"/>
            <w:tcBorders/>
            <w:shd w:fill="1070B8" w:val="clear"/>
            <w:vAlign w:val="center"/>
          </w:tcPr>
          <w:p>
            <w:pPr>
              <w:pStyle w:val="TableContents"/>
              <w:bidi w:val="0"/>
              <w:spacing w:before="0" w:after="283"/>
              <w:jc w:val="left"/>
              <w:rPr/>
            </w:pPr>
            <w:r>
              <w:rPr/>
              <w:t> </w:t>
            </w:r>
          </w:p>
        </w:tc>
        <w:tc>
          <w:tcPr>
            <w:tcW w:w="372"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120"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764" w:type="dxa"/>
            <w:tcBorders/>
            <w:shd w:fill="1070B8" w:val="clear"/>
            <w:vAlign w:val="center"/>
          </w:tcPr>
          <w:p>
            <w:pPr>
              <w:pStyle w:val="TableContents"/>
              <w:bidi w:val="0"/>
              <w:spacing w:before="0" w:after="283"/>
              <w:jc w:val="left"/>
              <w:rPr>
                <w:sz w:val="4"/>
                <w:szCs w:val="4"/>
              </w:rPr>
            </w:pPr>
            <w:r>
              <w:rPr>
                <w:sz w:val="4"/>
                <w:szCs w:val="4"/>
              </w:rPr>
            </w:r>
          </w:p>
        </w:tc>
        <w:tc>
          <w:tcPr>
            <w:tcW w:w="70" w:type="dxa"/>
            <w:tcBorders/>
            <w:shd w:fill="1070B8" w:val="clear"/>
            <w:vAlign w:val="center"/>
          </w:tcPr>
          <w:p>
            <w:pPr>
              <w:pStyle w:val="TableContents"/>
              <w:bidi w:val="0"/>
              <w:spacing w:before="0" w:after="283"/>
              <w:jc w:val="left"/>
              <w:rPr/>
            </w:pPr>
            <w:r>
              <w:rPr/>
              <w:t> </w:t>
            </w:r>
          </w:p>
        </w:tc>
        <w:tc>
          <w:tcPr>
            <w:tcW w:w="1840" w:type="dxa"/>
            <w:tcBorders/>
            <w:shd w:fill="1070B8" w:val="clear"/>
            <w:vAlign w:val="center"/>
          </w:tcPr>
          <w:p>
            <w:pPr>
              <w:pStyle w:val="TableContents"/>
              <w:bidi w:val="0"/>
              <w:spacing w:before="0" w:after="283"/>
              <w:jc w:val="left"/>
              <w:rPr>
                <w:sz w:val="4"/>
                <w:szCs w:val="4"/>
              </w:rPr>
            </w:pPr>
            <w:r>
              <w:rPr>
                <w:sz w:val="4"/>
                <w:szCs w:val="4"/>
              </w:rPr>
            </w:r>
          </w:p>
        </w:tc>
      </w:tr>
      <w:tr>
        <w:trPr/>
        <w:tc>
          <w:tcPr>
            <w:tcW w:w="2640" w:type="dxa"/>
            <w:vMerge w:val="restart"/>
            <w:tcBorders/>
            <w:shd w:fill="1070B8" w:val="clear"/>
            <w:vAlign w:val="center"/>
          </w:tcPr>
          <w:p>
            <w:pPr>
              <w:pStyle w:val="TableContents"/>
              <w:bidi w:val="0"/>
              <w:spacing w:before="0" w:after="0"/>
              <w:jc w:val="right"/>
              <w:rPr>
                <w:color w:val="FFFFFF"/>
              </w:rPr>
            </w:pPr>
            <w:r>
              <w:rPr>
                <w:color w:val="FFFFFF"/>
              </w:rPr>
              <w:t>      </w:t>
            </w:r>
            <w:r>
              <w:rPr>
                <w:rFonts w:ascii="arial" w:hAnsi="arial"/>
                <w:color w:val="FFFFFF"/>
                <w:sz w:val="56"/>
              </w:rPr>
              <w:t>78</w:t>
            </w:r>
          </w:p>
        </w:tc>
        <w:tc>
          <w:tcPr>
            <w:tcW w:w="153" w:type="dxa"/>
            <w:tcBorders/>
            <w:shd w:fill="1070B8" w:val="clear"/>
            <w:vAlign w:val="center"/>
          </w:tcPr>
          <w:p>
            <w:pPr>
              <w:pStyle w:val="TableContents"/>
              <w:bidi w:val="0"/>
              <w:spacing w:before="0" w:after="283"/>
              <w:jc w:val="left"/>
              <w:rPr/>
            </w:pPr>
            <w:r>
              <w:rPr/>
              <w:t> </w:t>
            </w:r>
          </w:p>
        </w:tc>
        <w:tc>
          <w:tcPr>
            <w:tcW w:w="556" w:type="dxa"/>
            <w:tcBorders/>
            <w:shd w:fill="1070B8" w:val="clear"/>
            <w:vAlign w:val="center"/>
          </w:tcPr>
          <w:p>
            <w:pPr>
              <w:pStyle w:val="TableContents"/>
              <w:bidi w:val="0"/>
              <w:spacing w:before="0" w:after="283"/>
              <w:jc w:val="left"/>
              <w:rPr>
                <w:color w:val="FFFFFF"/>
              </w:rPr>
            </w:pPr>
            <w:r>
              <w:rPr>
                <w:color w:val="FFFFFF"/>
              </w:rPr>
              <w:t>%</w:t>
            </w:r>
          </w:p>
        </w:tc>
        <w:tc>
          <w:tcPr>
            <w:tcW w:w="60" w:type="dxa"/>
            <w:tcBorders/>
            <w:shd w:fill="1070B8" w:val="clear"/>
            <w:vAlign w:val="center"/>
          </w:tcPr>
          <w:p>
            <w:pPr>
              <w:pStyle w:val="TableContents"/>
              <w:bidi w:val="0"/>
              <w:spacing w:before="0" w:after="283"/>
              <w:jc w:val="left"/>
              <w:rPr/>
            </w:pPr>
            <w:r>
              <w:rPr/>
              <w:t> </w:t>
            </w:r>
          </w:p>
        </w:tc>
        <w:tc>
          <w:tcPr>
            <w:tcW w:w="120" w:type="dxa"/>
            <w:tcBorders>
              <w:right w:val="single" w:sz="6" w:space="0" w:color="FFFFFF"/>
            </w:tcBorders>
            <w:shd w:fill="1070B8" w:val="clear"/>
            <w:tcMar>
              <w:right w:w="28" w:type="dxa"/>
            </w:tcMar>
            <w:vAlign w:val="center"/>
          </w:tcPr>
          <w:p>
            <w:pPr>
              <w:pStyle w:val="TableContents"/>
              <w:bidi w:val="0"/>
              <w:spacing w:before="0" w:after="283"/>
              <w:jc w:val="left"/>
              <w:rPr/>
            </w:pPr>
            <w:r>
              <w:rPr/>
              <w:t> </w:t>
            </w:r>
          </w:p>
        </w:tc>
        <w:tc>
          <w:tcPr>
            <w:tcW w:w="60" w:type="dxa"/>
            <w:vMerge w:val="restart"/>
            <w:tcBorders/>
            <w:shd w:fill="1070B8" w:val="clear"/>
            <w:vAlign w:val="center"/>
          </w:tcPr>
          <w:p>
            <w:pPr>
              <w:pStyle w:val="TableContents"/>
              <w:bidi w:val="0"/>
              <w:spacing w:before="0" w:after="283"/>
              <w:jc w:val="left"/>
              <w:rPr/>
            </w:pPr>
            <w:r>
              <w:rPr/>
              <w:t> </w:t>
            </w:r>
          </w:p>
        </w:tc>
        <w:tc>
          <w:tcPr>
            <w:tcW w:w="1959" w:type="dxa"/>
            <w:vMerge w:val="restart"/>
            <w:tcBorders/>
            <w:shd w:fill="1070B8" w:val="clear"/>
            <w:vAlign w:val="center"/>
          </w:tcPr>
          <w:p>
            <w:pPr>
              <w:pStyle w:val="TableContents"/>
              <w:bidi w:val="0"/>
              <w:spacing w:before="0" w:after="0"/>
              <w:jc w:val="right"/>
              <w:rPr>
                <w:color w:val="FFFFFF"/>
              </w:rPr>
            </w:pPr>
            <w:r>
              <w:rPr>
                <w:color w:val="FFFFFF"/>
              </w:rPr>
              <w:t>        </w:t>
            </w:r>
            <w:r>
              <w:rPr>
                <w:rFonts w:ascii="arial" w:hAnsi="arial"/>
                <w:color w:val="FFFFFF"/>
                <w:sz w:val="56"/>
              </w:rPr>
              <w:t>67</w:t>
            </w:r>
          </w:p>
        </w:tc>
        <w:tc>
          <w:tcPr>
            <w:tcW w:w="103" w:type="dxa"/>
            <w:tcBorders/>
            <w:shd w:fill="1070B8" w:val="clear"/>
            <w:vAlign w:val="center"/>
          </w:tcPr>
          <w:p>
            <w:pPr>
              <w:pStyle w:val="TableContents"/>
              <w:bidi w:val="0"/>
              <w:spacing w:before="0" w:after="283"/>
              <w:jc w:val="left"/>
              <w:rPr/>
            </w:pPr>
            <w:r>
              <w:rPr/>
              <w:t> </w:t>
            </w:r>
          </w:p>
        </w:tc>
        <w:tc>
          <w:tcPr>
            <w:tcW w:w="372" w:type="dxa"/>
            <w:tcBorders/>
            <w:shd w:fill="1070B8" w:val="clear"/>
            <w:vAlign w:val="center"/>
          </w:tcPr>
          <w:p>
            <w:pPr>
              <w:pStyle w:val="TableContents"/>
              <w:bidi w:val="0"/>
              <w:spacing w:before="0" w:after="283"/>
              <w:jc w:val="left"/>
              <w:rPr>
                <w:color w:val="FFFFFF"/>
              </w:rPr>
            </w:pPr>
            <w:r>
              <w:rPr>
                <w:color w:val="FFFFFF"/>
              </w:rPr>
              <w:t>%</w:t>
            </w:r>
          </w:p>
        </w:tc>
        <w:tc>
          <w:tcPr>
            <w:tcW w:w="60" w:type="dxa"/>
            <w:tcBorders/>
            <w:shd w:fill="1070B8" w:val="clear"/>
            <w:vAlign w:val="center"/>
          </w:tcPr>
          <w:p>
            <w:pPr>
              <w:pStyle w:val="TableContents"/>
              <w:bidi w:val="0"/>
              <w:spacing w:before="0" w:after="283"/>
              <w:jc w:val="left"/>
              <w:rPr/>
            </w:pPr>
            <w:r>
              <w:rPr/>
              <w:t> </w:t>
            </w:r>
          </w:p>
        </w:tc>
        <w:tc>
          <w:tcPr>
            <w:tcW w:w="120" w:type="dxa"/>
            <w:tcBorders>
              <w:right w:val="single" w:sz="6" w:space="0" w:color="FFFFFF"/>
            </w:tcBorders>
            <w:shd w:fill="1070B8" w:val="clear"/>
            <w:tcMar>
              <w:right w:w="28" w:type="dxa"/>
            </w:tcMar>
            <w:vAlign w:val="center"/>
          </w:tcPr>
          <w:p>
            <w:pPr>
              <w:pStyle w:val="TableContents"/>
              <w:bidi w:val="0"/>
              <w:spacing w:before="0" w:after="283"/>
              <w:jc w:val="left"/>
              <w:rPr/>
            </w:pPr>
            <w:r>
              <w:rPr/>
              <w:t> </w:t>
            </w:r>
          </w:p>
        </w:tc>
        <w:tc>
          <w:tcPr>
            <w:tcW w:w="60" w:type="dxa"/>
            <w:vMerge w:val="restart"/>
            <w:tcBorders/>
            <w:shd w:fill="1070B8" w:val="clear"/>
            <w:vAlign w:val="center"/>
          </w:tcPr>
          <w:p>
            <w:pPr>
              <w:pStyle w:val="TableContents"/>
              <w:bidi w:val="0"/>
              <w:spacing w:before="0" w:after="283"/>
              <w:jc w:val="left"/>
              <w:rPr/>
            </w:pPr>
            <w:r>
              <w:rPr/>
              <w:t> </w:t>
            </w:r>
          </w:p>
        </w:tc>
        <w:tc>
          <w:tcPr>
            <w:tcW w:w="764" w:type="dxa"/>
            <w:vMerge w:val="restart"/>
            <w:tcBorders/>
            <w:shd w:fill="1070B8" w:val="clear"/>
            <w:vAlign w:val="center"/>
          </w:tcPr>
          <w:p>
            <w:pPr>
              <w:pStyle w:val="TableContents"/>
              <w:bidi w:val="0"/>
              <w:spacing w:before="0" w:after="0"/>
              <w:jc w:val="right"/>
              <w:rPr>
                <w:rFonts w:ascii="arial" w:hAnsi="arial"/>
                <w:color w:val="FFFFFF"/>
                <w:sz w:val="56"/>
              </w:rPr>
            </w:pPr>
            <w:r>
              <w:rPr>
                <w:rFonts w:ascii="arial" w:hAnsi="arial"/>
                <w:color w:val="FFFFFF"/>
                <w:sz w:val="56"/>
              </w:rPr>
              <w:t>33</w:t>
            </w:r>
          </w:p>
        </w:tc>
        <w:tc>
          <w:tcPr>
            <w:tcW w:w="70" w:type="dxa"/>
            <w:tcBorders/>
            <w:shd w:fill="1070B8" w:val="clear"/>
            <w:vAlign w:val="center"/>
          </w:tcPr>
          <w:p>
            <w:pPr>
              <w:pStyle w:val="TableContents"/>
              <w:bidi w:val="0"/>
              <w:spacing w:before="0" w:after="283"/>
              <w:jc w:val="left"/>
              <w:rPr/>
            </w:pPr>
            <w:r>
              <w:rPr/>
              <w:t> </w:t>
            </w:r>
          </w:p>
        </w:tc>
        <w:tc>
          <w:tcPr>
            <w:tcW w:w="1840" w:type="dxa"/>
            <w:tcBorders/>
            <w:shd w:fill="1070B8" w:val="clear"/>
            <w:vAlign w:val="center"/>
          </w:tcPr>
          <w:p>
            <w:pPr>
              <w:pStyle w:val="TableContents"/>
              <w:bidi w:val="0"/>
              <w:spacing w:before="0" w:after="283"/>
              <w:jc w:val="left"/>
              <w:rPr>
                <w:color w:val="FFFFFF"/>
              </w:rPr>
            </w:pPr>
            <w:r>
              <w:rPr>
                <w:color w:val="FFFFFF"/>
              </w:rPr>
              <w:t>%</w:t>
            </w:r>
          </w:p>
        </w:tc>
      </w:tr>
      <w:tr>
        <w:trPr/>
        <w:tc>
          <w:tcPr>
            <w:tcW w:w="2640" w:type="dxa"/>
            <w:vMerge w:val="continue"/>
            <w:tcBorders/>
            <w:shd w:fill="1070B8" w:val="clear"/>
            <w:vAlign w:val="center"/>
          </w:tcPr>
          <w:p>
            <w:pPr>
              <w:pStyle w:val="Normal"/>
              <w:bidi w:val="0"/>
              <w:jc w:val="left"/>
              <w:rPr/>
            </w:pPr>
            <w:r>
              <w:rPr/>
            </w:r>
          </w:p>
        </w:tc>
        <w:tc>
          <w:tcPr>
            <w:tcW w:w="153" w:type="dxa"/>
            <w:tcBorders/>
            <w:shd w:fill="1070B8" w:val="clear"/>
            <w:vAlign w:val="center"/>
          </w:tcPr>
          <w:p>
            <w:pPr>
              <w:pStyle w:val="TableContents"/>
              <w:bidi w:val="0"/>
              <w:spacing w:before="0" w:after="283"/>
              <w:jc w:val="left"/>
              <w:rPr/>
            </w:pPr>
            <w:r>
              <w:rPr/>
              <w:t> </w:t>
            </w:r>
          </w:p>
        </w:tc>
        <w:tc>
          <w:tcPr>
            <w:tcW w:w="556" w:type="dxa"/>
            <w:tcBorders/>
            <w:shd w:fill="1070B8"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FFFFFF"/>
                <w:sz w:val="14"/>
              </w:rPr>
            </w:pPr>
            <w:r>
              <w:rPr>
                <w:rFonts w:ascii="arial" w:hAnsi="arial"/>
                <w:color w:val="FFFFFF"/>
                <w:sz w:val="14"/>
              </w:rPr>
              <w:t>OF</w:t>
            </w:r>
          </w:p>
        </w:tc>
        <w:tc>
          <w:tcPr>
            <w:tcW w:w="60" w:type="dxa"/>
            <w:tcBorders/>
            <w:shd w:fill="1070B8" w:val="clear"/>
            <w:vAlign w:val="center"/>
          </w:tcPr>
          <w:p>
            <w:pPr>
              <w:pStyle w:val="TableContents"/>
              <w:bidi w:val="0"/>
              <w:spacing w:before="0" w:after="283"/>
              <w:jc w:val="left"/>
              <w:rPr/>
            </w:pPr>
            <w:r>
              <w:rPr/>
              <w:t> </w:t>
            </w:r>
          </w:p>
        </w:tc>
        <w:tc>
          <w:tcPr>
            <w:tcW w:w="120" w:type="dxa"/>
            <w:tcBorders>
              <w:right w:val="single" w:sz="6" w:space="0" w:color="FFFFFF"/>
            </w:tcBorders>
            <w:shd w:fill="1070B8" w:val="clear"/>
            <w:tcMar>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vMerge w:val="continue"/>
            <w:tcBorders/>
            <w:shd w:fill="1070B8" w:val="clear"/>
            <w:vAlign w:val="center"/>
          </w:tcPr>
          <w:p>
            <w:pPr>
              <w:pStyle w:val="Normal"/>
              <w:bidi w:val="0"/>
              <w:jc w:val="left"/>
              <w:rPr/>
            </w:pPr>
            <w:r>
              <w:rPr/>
            </w:r>
          </w:p>
        </w:tc>
        <w:tc>
          <w:tcPr>
            <w:tcW w:w="1959" w:type="dxa"/>
            <w:vMerge w:val="continue"/>
            <w:tcBorders/>
            <w:shd w:fill="1070B8" w:val="clear"/>
            <w:vAlign w:val="center"/>
          </w:tcPr>
          <w:p>
            <w:pPr>
              <w:pStyle w:val="Normal"/>
              <w:bidi w:val="0"/>
              <w:jc w:val="left"/>
              <w:rPr/>
            </w:pPr>
            <w:r>
              <w:rPr/>
            </w:r>
          </w:p>
        </w:tc>
        <w:tc>
          <w:tcPr>
            <w:tcW w:w="103" w:type="dxa"/>
            <w:tcBorders/>
            <w:shd w:fill="1070B8" w:val="clear"/>
            <w:vAlign w:val="center"/>
          </w:tcPr>
          <w:p>
            <w:pPr>
              <w:pStyle w:val="TableContents"/>
              <w:bidi w:val="0"/>
              <w:spacing w:before="0" w:after="283"/>
              <w:jc w:val="left"/>
              <w:rPr/>
            </w:pPr>
            <w:r>
              <w:rPr/>
              <w:t> </w:t>
            </w:r>
          </w:p>
        </w:tc>
        <w:tc>
          <w:tcPr>
            <w:tcW w:w="372" w:type="dxa"/>
            <w:tcBorders/>
            <w:shd w:fill="1070B8"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FFFFFF"/>
                <w:sz w:val="14"/>
              </w:rPr>
            </w:pPr>
            <w:r>
              <w:rPr>
                <w:rFonts w:ascii="arial" w:hAnsi="arial"/>
                <w:color w:val="FFFFFF"/>
                <w:sz w:val="14"/>
              </w:rPr>
              <w:t>OF</w:t>
            </w:r>
          </w:p>
        </w:tc>
        <w:tc>
          <w:tcPr>
            <w:tcW w:w="60" w:type="dxa"/>
            <w:tcBorders/>
            <w:shd w:fill="1070B8" w:val="clear"/>
            <w:vAlign w:val="center"/>
          </w:tcPr>
          <w:p>
            <w:pPr>
              <w:pStyle w:val="TableContents"/>
              <w:bidi w:val="0"/>
              <w:spacing w:before="0" w:after="283"/>
              <w:jc w:val="left"/>
              <w:rPr/>
            </w:pPr>
            <w:r>
              <w:rPr/>
              <w:t> </w:t>
            </w:r>
          </w:p>
        </w:tc>
        <w:tc>
          <w:tcPr>
            <w:tcW w:w="120" w:type="dxa"/>
            <w:tcBorders>
              <w:right w:val="single" w:sz="6" w:space="0" w:color="FFFFFF"/>
            </w:tcBorders>
            <w:shd w:fill="1070B8" w:val="clear"/>
            <w:tcMar>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vMerge w:val="continue"/>
            <w:tcBorders/>
            <w:shd w:fill="1070B8" w:val="clear"/>
            <w:vAlign w:val="center"/>
          </w:tcPr>
          <w:p>
            <w:pPr>
              <w:pStyle w:val="Normal"/>
              <w:bidi w:val="0"/>
              <w:jc w:val="left"/>
              <w:rPr/>
            </w:pPr>
            <w:r>
              <w:rPr/>
            </w:r>
          </w:p>
        </w:tc>
        <w:tc>
          <w:tcPr>
            <w:tcW w:w="764" w:type="dxa"/>
            <w:vMerge w:val="continue"/>
            <w:tcBorders/>
            <w:shd w:fill="1070B8" w:val="clear"/>
            <w:vAlign w:val="center"/>
          </w:tcPr>
          <w:p>
            <w:pPr>
              <w:pStyle w:val="Normal"/>
              <w:bidi w:val="0"/>
              <w:jc w:val="left"/>
              <w:rPr/>
            </w:pPr>
            <w:r>
              <w:rPr/>
            </w:r>
          </w:p>
        </w:tc>
        <w:tc>
          <w:tcPr>
            <w:tcW w:w="70" w:type="dxa"/>
            <w:tcBorders/>
            <w:shd w:fill="1070B8" w:val="clear"/>
            <w:vAlign w:val="center"/>
          </w:tcPr>
          <w:p>
            <w:pPr>
              <w:pStyle w:val="TableContents"/>
              <w:bidi w:val="0"/>
              <w:spacing w:before="0" w:after="283"/>
              <w:jc w:val="left"/>
              <w:rPr/>
            </w:pPr>
            <w:r>
              <w:rPr/>
              <w:t> </w:t>
            </w:r>
          </w:p>
        </w:tc>
        <w:tc>
          <w:tcPr>
            <w:tcW w:w="1840" w:type="dxa"/>
            <w:tcBorders/>
            <w:shd w:fill="1070B8"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FFFFFF"/>
                <w:sz w:val="14"/>
              </w:rPr>
            </w:pPr>
            <w:r>
              <w:rPr>
                <w:rFonts w:ascii="arial" w:hAnsi="arial"/>
                <w:color w:val="FFFFFF"/>
                <w:sz w:val="14"/>
              </w:rPr>
              <w:t>OF          </w:t>
            </w:r>
          </w:p>
        </w:tc>
      </w:tr>
      <w:tr>
        <w:trPr/>
        <w:tc>
          <w:tcPr>
            <w:tcW w:w="3349" w:type="dxa"/>
            <w:gridSpan w:val="3"/>
            <w:tcBorders/>
            <w:shd w:fill="1070B8" w:val="clear"/>
            <w:vAlign w:val="center"/>
          </w:tcPr>
          <w:p>
            <w:pPr>
              <w:pStyle w:val="TableContents"/>
              <w:bidi w:val="0"/>
              <w:spacing w:before="0" w:after="0"/>
              <w:jc w:val="center"/>
              <w:rPr>
                <w:rFonts w:ascii="ARIAL" w:hAnsi="ARIAL"/>
                <w:color w:val="FFFFFF"/>
                <w:sz w:val="14"/>
              </w:rPr>
            </w:pPr>
            <w:r>
              <w:rPr>
                <w:rFonts w:ascii="ARIAL" w:hAnsi="ARIAL"/>
                <w:color w:val="FFFFFF"/>
                <w:sz w:val="14"/>
              </w:rPr>
              <w:t>BOARD MEMBERS ARE</w:t>
            </w:r>
          </w:p>
          <w:p>
            <w:pPr>
              <w:pStyle w:val="TableContents"/>
              <w:bidi w:val="0"/>
              <w:spacing w:before="0" w:after="0"/>
              <w:jc w:val="center"/>
              <w:rPr>
                <w:rFonts w:ascii="ARIAL" w:hAnsi="ARIAL"/>
                <w:b/>
                <w:color w:val="FFFFFF"/>
                <w:sz w:val="28"/>
              </w:rPr>
            </w:pPr>
            <w:r>
              <w:rPr>
                <w:rFonts w:ascii="ARIAL" w:hAnsi="ARIAL"/>
                <w:b/>
                <w:color w:val="FFFFFF"/>
                <w:sz w:val="28"/>
              </w:rPr>
              <w:t>INDEPENDENT</w:t>
            </w:r>
          </w:p>
          <w:p>
            <w:pPr>
              <w:pStyle w:val="TableContents"/>
              <w:bidi w:val="0"/>
              <w:spacing w:before="0" w:after="0"/>
              <w:jc w:val="center"/>
              <w:rPr>
                <w:rFonts w:ascii="ARIAL" w:hAnsi="ARIAL"/>
                <w:color w:val="FFFFFF"/>
                <w:sz w:val="14"/>
              </w:rPr>
            </w:pPr>
            <w:r>
              <w:rPr>
                <w:rFonts w:ascii="ARIAL" w:hAnsi="ARIAL"/>
                <w:color w:val="FFFFFF"/>
                <w:sz w:val="14"/>
              </w:rPr>
              <w:t>Seven Independent</w:t>
            </w:r>
          </w:p>
          <w:p>
            <w:pPr>
              <w:pStyle w:val="TableContents"/>
              <w:bidi w:val="0"/>
              <w:spacing w:before="0" w:after="20"/>
              <w:jc w:val="center"/>
              <w:rPr>
                <w:rFonts w:ascii="ARIAL" w:hAnsi="ARIAL"/>
                <w:color w:val="FFFFFF"/>
                <w:sz w:val="14"/>
              </w:rPr>
            </w:pPr>
            <w:r>
              <w:rPr>
                <w:rFonts w:ascii="ARIAL" w:hAnsi="ARIAL"/>
                <w:color w:val="FFFFFF"/>
                <w:sz w:val="14"/>
              </w:rPr>
              <w:t>Two Non-Independent</w:t>
            </w:r>
          </w:p>
        </w:tc>
        <w:tc>
          <w:tcPr>
            <w:tcW w:w="60" w:type="dxa"/>
            <w:tcBorders/>
            <w:shd w:fill="1070B8" w:val="clear"/>
            <w:vAlign w:val="center"/>
          </w:tcPr>
          <w:p>
            <w:pPr>
              <w:pStyle w:val="TableContents"/>
              <w:bidi w:val="0"/>
              <w:spacing w:before="0" w:after="283"/>
              <w:jc w:val="left"/>
              <w:rPr/>
            </w:pPr>
            <w:r>
              <w:rPr/>
              <w:t> </w:t>
            </w:r>
          </w:p>
        </w:tc>
        <w:tc>
          <w:tcPr>
            <w:tcW w:w="120" w:type="dxa"/>
            <w:tcBorders>
              <w:right w:val="single" w:sz="6" w:space="0" w:color="FFFFFF"/>
            </w:tcBorders>
            <w:shd w:fill="1070B8" w:val="clear"/>
            <w:tcMar>
              <w:right w:w="28" w:type="dxa"/>
            </w:tcMar>
            <w:vAlign w:val="center"/>
          </w:tcPr>
          <w:p>
            <w:pPr>
              <w:pStyle w:val="TableContents"/>
              <w:bidi w:val="0"/>
              <w:spacing w:before="0" w:after="283"/>
              <w:jc w:val="left"/>
              <w:rPr/>
            </w:pPr>
            <w:r>
              <w:rPr/>
              <w:t>  </w:t>
            </w:r>
          </w:p>
        </w:tc>
        <w:tc>
          <w:tcPr>
            <w:tcW w:w="60" w:type="dxa"/>
            <w:tcBorders/>
            <w:shd w:fill="1070B8" w:val="clear"/>
            <w:vAlign w:val="center"/>
          </w:tcPr>
          <w:p>
            <w:pPr>
              <w:pStyle w:val="TableContents"/>
              <w:bidi w:val="0"/>
              <w:spacing w:before="0" w:after="283"/>
              <w:jc w:val="left"/>
              <w:rPr/>
            </w:pPr>
            <w:r>
              <w:rPr/>
              <w:t> </w:t>
            </w:r>
          </w:p>
        </w:tc>
        <w:tc>
          <w:tcPr>
            <w:tcW w:w="2434" w:type="dxa"/>
            <w:gridSpan w:val="3"/>
            <w:tcBorders/>
            <w:shd w:fill="1070B8" w:val="clear"/>
            <w:vAlign w:val="center"/>
          </w:tcPr>
          <w:p>
            <w:pPr>
              <w:pStyle w:val="TableContents"/>
              <w:bidi w:val="0"/>
              <w:spacing w:before="0" w:after="0"/>
              <w:jc w:val="center"/>
              <w:rPr>
                <w:rFonts w:ascii="ARIAL" w:hAnsi="ARIAL"/>
                <w:color w:val="FFFFFF"/>
                <w:sz w:val="14"/>
              </w:rPr>
            </w:pPr>
            <w:r>
              <w:rPr>
                <w:rFonts w:ascii="ARIAL" w:hAnsi="ARIAL"/>
                <w:color w:val="FFFFFF"/>
                <w:sz w:val="14"/>
              </w:rPr>
              <w:t>COMMITTEE CHAIRS ARE</w:t>
            </w:r>
          </w:p>
          <w:p>
            <w:pPr>
              <w:pStyle w:val="TableContents"/>
              <w:bidi w:val="0"/>
              <w:spacing w:before="0" w:after="0"/>
              <w:jc w:val="center"/>
              <w:rPr>
                <w:rFonts w:ascii="ARIAL" w:hAnsi="ARIAL"/>
                <w:b/>
                <w:color w:val="FFFFFF"/>
                <w:sz w:val="28"/>
              </w:rPr>
            </w:pPr>
            <w:r>
              <w:rPr>
                <w:rFonts w:ascii="ARIAL" w:hAnsi="ARIAL"/>
                <w:b/>
                <w:color w:val="FFFFFF"/>
                <w:sz w:val="28"/>
              </w:rPr>
              <w:t>WOMEN</w:t>
            </w:r>
          </w:p>
          <w:p>
            <w:pPr>
              <w:pStyle w:val="TableContents"/>
              <w:bidi w:val="0"/>
              <w:spacing w:before="0" w:after="0"/>
              <w:jc w:val="center"/>
              <w:rPr>
                <w:rFonts w:ascii="ARIAL" w:hAnsi="ARIAL"/>
                <w:color w:val="FFFFFF"/>
                <w:sz w:val="14"/>
              </w:rPr>
            </w:pPr>
            <w:r>
              <w:rPr>
                <w:rFonts w:ascii="ARIAL" w:hAnsi="ARIAL"/>
                <w:color w:val="FFFFFF"/>
                <w:sz w:val="14"/>
              </w:rPr>
              <w:t>Two Women</w:t>
            </w:r>
          </w:p>
          <w:p>
            <w:pPr>
              <w:pStyle w:val="TableContents"/>
              <w:bidi w:val="0"/>
              <w:spacing w:before="0" w:after="20"/>
              <w:jc w:val="center"/>
              <w:rPr>
                <w:rFonts w:ascii="ARIAL" w:hAnsi="ARIAL"/>
                <w:color w:val="FFFFFF"/>
                <w:sz w:val="14"/>
              </w:rPr>
            </w:pPr>
            <w:r>
              <w:rPr>
                <w:rFonts w:ascii="ARIAL" w:hAnsi="ARIAL"/>
                <w:color w:val="FFFFFF"/>
                <w:sz w:val="14"/>
              </w:rPr>
              <w:t>One Man</w:t>
            </w:r>
          </w:p>
        </w:tc>
        <w:tc>
          <w:tcPr>
            <w:tcW w:w="60" w:type="dxa"/>
            <w:tcBorders/>
            <w:shd w:fill="1070B8" w:val="clear"/>
            <w:vAlign w:val="center"/>
          </w:tcPr>
          <w:p>
            <w:pPr>
              <w:pStyle w:val="TableContents"/>
              <w:bidi w:val="0"/>
              <w:spacing w:before="0" w:after="283"/>
              <w:jc w:val="left"/>
              <w:rPr/>
            </w:pPr>
            <w:r>
              <w:rPr/>
              <w:t> </w:t>
            </w:r>
          </w:p>
        </w:tc>
        <w:tc>
          <w:tcPr>
            <w:tcW w:w="120" w:type="dxa"/>
            <w:tcBorders>
              <w:right w:val="single" w:sz="6" w:space="0" w:color="FFFFFF"/>
            </w:tcBorders>
            <w:shd w:fill="1070B8" w:val="clear"/>
            <w:tcMar>
              <w:right w:w="28" w:type="dxa"/>
            </w:tcMar>
            <w:vAlign w:val="center"/>
          </w:tcPr>
          <w:p>
            <w:pPr>
              <w:pStyle w:val="TableContents"/>
              <w:bidi w:val="0"/>
              <w:spacing w:before="0" w:after="283"/>
              <w:jc w:val="left"/>
              <w:rPr/>
            </w:pPr>
            <w:r>
              <w:rPr/>
              <w:t>  </w:t>
            </w:r>
          </w:p>
        </w:tc>
        <w:tc>
          <w:tcPr>
            <w:tcW w:w="60" w:type="dxa"/>
            <w:tcBorders/>
            <w:shd w:fill="1070B8" w:val="clear"/>
            <w:vAlign w:val="center"/>
          </w:tcPr>
          <w:p>
            <w:pPr>
              <w:pStyle w:val="TableContents"/>
              <w:bidi w:val="0"/>
              <w:spacing w:before="0" w:after="283"/>
              <w:jc w:val="left"/>
              <w:rPr/>
            </w:pPr>
            <w:r>
              <w:rPr/>
              <w:t> </w:t>
            </w:r>
          </w:p>
        </w:tc>
        <w:tc>
          <w:tcPr>
            <w:tcW w:w="2674" w:type="dxa"/>
            <w:gridSpan w:val="3"/>
            <w:tcBorders/>
            <w:shd w:fill="1070B8" w:val="clear"/>
            <w:vAlign w:val="center"/>
          </w:tcPr>
          <w:p>
            <w:pPr>
              <w:pStyle w:val="TableContents"/>
              <w:bidi w:val="0"/>
              <w:spacing w:before="0" w:after="0"/>
              <w:jc w:val="center"/>
              <w:rPr>
                <w:rFonts w:ascii="ARIAL" w:hAnsi="ARIAL"/>
                <w:color w:val="FFFFFF"/>
                <w:sz w:val="14"/>
              </w:rPr>
            </w:pPr>
            <w:r>
              <w:rPr>
                <w:rFonts w:ascii="ARIAL" w:hAnsi="ARIAL"/>
                <w:color w:val="FFFFFF"/>
                <w:sz w:val="14"/>
              </w:rPr>
              <w:t>BOARD MEMBERS ARE</w:t>
            </w:r>
          </w:p>
          <w:p>
            <w:pPr>
              <w:pStyle w:val="TableContents"/>
              <w:bidi w:val="0"/>
              <w:spacing w:before="0" w:after="0"/>
              <w:jc w:val="center"/>
              <w:rPr>
                <w:rFonts w:ascii="ARIAL" w:hAnsi="ARIAL"/>
                <w:b/>
                <w:color w:val="FFFFFF"/>
                <w:sz w:val="28"/>
              </w:rPr>
            </w:pPr>
            <w:r>
              <w:rPr>
                <w:rFonts w:ascii="ARIAL" w:hAnsi="ARIAL"/>
                <w:b/>
                <w:color w:val="FFFFFF"/>
                <w:sz w:val="28"/>
              </w:rPr>
              <w:t>WOMEN</w:t>
            </w:r>
          </w:p>
          <w:p>
            <w:pPr>
              <w:pStyle w:val="TableContents"/>
              <w:bidi w:val="0"/>
              <w:spacing w:before="0" w:after="0"/>
              <w:jc w:val="center"/>
              <w:rPr>
                <w:rFonts w:ascii="ARIAL" w:hAnsi="ARIAL"/>
                <w:color w:val="FFFFFF"/>
                <w:sz w:val="14"/>
              </w:rPr>
            </w:pPr>
            <w:r>
              <w:rPr>
                <w:rFonts w:ascii="ARIAL" w:hAnsi="ARIAL"/>
                <w:color w:val="FFFFFF"/>
                <w:sz w:val="14"/>
              </w:rPr>
              <w:t>Three Women</w:t>
            </w:r>
          </w:p>
          <w:p>
            <w:pPr>
              <w:pStyle w:val="TableContents"/>
              <w:bidi w:val="0"/>
              <w:spacing w:before="0" w:after="20"/>
              <w:jc w:val="center"/>
              <w:rPr>
                <w:rFonts w:ascii="ARIAL" w:hAnsi="ARIAL"/>
                <w:color w:val="FFFFFF"/>
                <w:sz w:val="14"/>
              </w:rPr>
            </w:pPr>
            <w:r>
              <w:rPr>
                <w:rFonts w:ascii="ARIAL" w:hAnsi="ARIAL"/>
                <w:color w:val="FFFFFF"/>
                <w:sz w:val="14"/>
              </w:rPr>
              <w:t>Six Men</w:t>
            </w:r>
          </w:p>
        </w:tc>
      </w:tr>
      <w:tr>
        <w:trPr/>
        <w:tc>
          <w:tcPr>
            <w:tcW w:w="2640" w:type="dxa"/>
            <w:tcBorders/>
            <w:shd w:fill="1070B8" w:val="clear"/>
            <w:vAlign w:val="center"/>
          </w:tcPr>
          <w:p>
            <w:pPr>
              <w:pStyle w:val="TableContents"/>
              <w:bidi w:val="0"/>
              <w:spacing w:before="0" w:after="283"/>
              <w:jc w:val="left"/>
              <w:rPr>
                <w:sz w:val="4"/>
                <w:szCs w:val="4"/>
              </w:rPr>
            </w:pPr>
            <w:r>
              <w:rPr>
                <w:sz w:val="4"/>
                <w:szCs w:val="4"/>
              </w:rPr>
            </w:r>
          </w:p>
        </w:tc>
        <w:tc>
          <w:tcPr>
            <w:tcW w:w="153" w:type="dxa"/>
            <w:tcBorders/>
            <w:shd w:fill="1070B8" w:val="clear"/>
            <w:vAlign w:val="center"/>
          </w:tcPr>
          <w:p>
            <w:pPr>
              <w:pStyle w:val="TableContents"/>
              <w:bidi w:val="0"/>
              <w:spacing w:before="0" w:after="283"/>
              <w:jc w:val="left"/>
              <w:rPr/>
            </w:pPr>
            <w:r>
              <w:rPr/>
              <w:t> </w:t>
            </w:r>
          </w:p>
        </w:tc>
        <w:tc>
          <w:tcPr>
            <w:tcW w:w="556"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120"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1959" w:type="dxa"/>
            <w:tcBorders/>
            <w:shd w:fill="1070B8" w:val="clear"/>
            <w:vAlign w:val="center"/>
          </w:tcPr>
          <w:p>
            <w:pPr>
              <w:pStyle w:val="TableContents"/>
              <w:bidi w:val="0"/>
              <w:spacing w:before="0" w:after="283"/>
              <w:jc w:val="left"/>
              <w:rPr>
                <w:sz w:val="4"/>
                <w:szCs w:val="4"/>
              </w:rPr>
            </w:pPr>
            <w:r>
              <w:rPr>
                <w:sz w:val="4"/>
                <w:szCs w:val="4"/>
              </w:rPr>
            </w:r>
          </w:p>
        </w:tc>
        <w:tc>
          <w:tcPr>
            <w:tcW w:w="103" w:type="dxa"/>
            <w:tcBorders/>
            <w:shd w:fill="1070B8" w:val="clear"/>
            <w:vAlign w:val="center"/>
          </w:tcPr>
          <w:p>
            <w:pPr>
              <w:pStyle w:val="TableContents"/>
              <w:bidi w:val="0"/>
              <w:spacing w:before="0" w:after="283"/>
              <w:jc w:val="left"/>
              <w:rPr/>
            </w:pPr>
            <w:r>
              <w:rPr/>
              <w:t> </w:t>
            </w:r>
          </w:p>
        </w:tc>
        <w:tc>
          <w:tcPr>
            <w:tcW w:w="372"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120"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764" w:type="dxa"/>
            <w:tcBorders/>
            <w:shd w:fill="1070B8" w:val="clear"/>
            <w:vAlign w:val="center"/>
          </w:tcPr>
          <w:p>
            <w:pPr>
              <w:pStyle w:val="TableContents"/>
              <w:bidi w:val="0"/>
              <w:spacing w:before="0" w:after="283"/>
              <w:jc w:val="left"/>
              <w:rPr>
                <w:sz w:val="4"/>
                <w:szCs w:val="4"/>
              </w:rPr>
            </w:pPr>
            <w:r>
              <w:rPr>
                <w:sz w:val="4"/>
                <w:szCs w:val="4"/>
              </w:rPr>
            </w:r>
          </w:p>
        </w:tc>
        <w:tc>
          <w:tcPr>
            <w:tcW w:w="70" w:type="dxa"/>
            <w:tcBorders/>
            <w:shd w:fill="1070B8" w:val="clear"/>
            <w:vAlign w:val="center"/>
          </w:tcPr>
          <w:p>
            <w:pPr>
              <w:pStyle w:val="TableContents"/>
              <w:bidi w:val="0"/>
              <w:spacing w:before="0" w:after="283"/>
              <w:jc w:val="left"/>
              <w:rPr/>
            </w:pPr>
            <w:r>
              <w:rPr/>
              <w:t> </w:t>
            </w:r>
          </w:p>
        </w:tc>
        <w:tc>
          <w:tcPr>
            <w:tcW w:w="1840" w:type="dxa"/>
            <w:tcBorders/>
            <w:shd w:fill="1070B8" w:val="clear"/>
            <w:vAlign w:val="center"/>
          </w:tcPr>
          <w:p>
            <w:pPr>
              <w:pStyle w:val="TableContents"/>
              <w:bidi w:val="0"/>
              <w:spacing w:before="0" w:after="283"/>
              <w:jc w:val="left"/>
              <w:rPr>
                <w:sz w:val="4"/>
                <w:szCs w:val="4"/>
              </w:rPr>
            </w:pPr>
            <w:r>
              <w:rPr>
                <w:sz w:val="4"/>
                <w:szCs w:val="4"/>
              </w:rPr>
            </w:r>
          </w:p>
        </w:tc>
      </w:tr>
      <w:tr>
        <w:trPr/>
        <w:tc>
          <w:tcPr>
            <w:tcW w:w="264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1840"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vAlign w:val="center"/>
          </w:tcPr>
          <w:p>
            <w:pPr>
              <w:pStyle w:val="TableContents"/>
              <w:bidi w:val="0"/>
              <w:spacing w:before="0" w:after="0"/>
              <w:jc w:val="center"/>
              <w:rPr>
                <w:rFonts w:ascii="arial" w:hAnsi="arial"/>
                <w:b/>
                <w:color w:val="1070B8"/>
                <w:sz w:val="18"/>
              </w:rPr>
            </w:pPr>
            <w:r>
              <w:rPr>
                <w:rFonts w:ascii="arial" w:hAnsi="arial"/>
                <w:b/>
                <w:color w:val="1070B8"/>
                <w:sz w:val="18"/>
              </w:rPr>
              <w:t>65 YEARS</w:t>
            </w:r>
          </w:p>
          <w:p>
            <w:pPr>
              <w:pStyle w:val="TableContents"/>
              <w:bidi w:val="0"/>
              <w:spacing w:before="0" w:after="0"/>
              <w:jc w:val="center"/>
              <w:rPr>
                <w:rFonts w:ascii="arial" w:hAnsi="arial"/>
                <w:b/>
                <w:color w:val="1070B8"/>
                <w:sz w:val="18"/>
              </w:rPr>
            </w:pPr>
            <w:r>
              <w:rPr>
                <w:rFonts w:ascii="arial" w:hAnsi="arial"/>
                <w:b/>
                <w:color w:val="1070B8"/>
                <w:sz w:val="18"/>
              </w:rPr>
              <w:t>AVERAGE AGE OF BOARD MEMBERS</w:t>
            </w:r>
          </w:p>
          <w:p>
            <w:pPr>
              <w:pStyle w:val="TableContents"/>
              <w:bidi w:val="0"/>
              <w:spacing w:before="0" w:after="20"/>
              <w:jc w:val="center"/>
              <w:rPr>
                <w:rFonts w:ascii="arial" w:hAnsi="arial"/>
                <w:b/>
                <w:color w:val="1070B8"/>
                <w:sz w:val="18"/>
              </w:rPr>
            </w:pPr>
            <w:r>
              <w:rPr>
                <w:rFonts w:ascii="arial" w:hAnsi="arial"/>
                <w:b/>
                <w:color w:val="1070B8"/>
                <w:sz w:val="18"/>
              </w:rPr>
              <w:t>Two 50s, Three 60s, Three 70s</w:t>
            </w:r>
          </w:p>
        </w:tc>
        <w:tc>
          <w:tcPr>
            <w:tcW w:w="60" w:type="dxa"/>
            <w:tcBorders/>
            <w:vAlign w:val="center"/>
          </w:tcPr>
          <w:p>
            <w:pPr>
              <w:pStyle w:val="TableContents"/>
              <w:bidi w:val="0"/>
              <w:spacing w:before="0" w:after="283"/>
              <w:jc w:val="left"/>
              <w:rPr/>
            </w:pPr>
            <w:r>
              <w:rPr/>
              <w:t> </w:t>
            </w:r>
          </w:p>
        </w:tc>
        <w:tc>
          <w:tcPr>
            <w:tcW w:w="120" w:type="dxa"/>
            <w:tcBorders>
              <w:right w:val="single" w:sz="6" w:space="0" w:color="1070B8"/>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4" w:type="dxa"/>
            <w:gridSpan w:val="3"/>
            <w:tcBorders/>
            <w:vAlign w:val="center"/>
          </w:tcPr>
          <w:p>
            <w:pPr>
              <w:pStyle w:val="TableContents"/>
              <w:bidi w:val="0"/>
              <w:spacing w:before="0" w:after="0"/>
              <w:jc w:val="center"/>
              <w:rPr>
                <w:rFonts w:ascii="arial" w:hAnsi="arial"/>
                <w:b/>
                <w:color w:val="1070B8"/>
                <w:sz w:val="18"/>
              </w:rPr>
            </w:pPr>
            <w:r>
              <w:rPr>
                <w:rFonts w:ascii="arial" w:hAnsi="arial"/>
                <w:b/>
                <w:color w:val="1070B8"/>
                <w:sz w:val="18"/>
              </w:rPr>
              <w:t>11 YEARS</w:t>
            </w:r>
          </w:p>
          <w:p>
            <w:pPr>
              <w:pStyle w:val="TableContents"/>
              <w:bidi w:val="0"/>
              <w:spacing w:before="0" w:after="0"/>
              <w:jc w:val="center"/>
              <w:rPr>
                <w:rFonts w:ascii="arial" w:hAnsi="arial"/>
                <w:b/>
                <w:color w:val="1070B8"/>
                <w:sz w:val="18"/>
              </w:rPr>
            </w:pPr>
            <w:r>
              <w:rPr>
                <w:rFonts w:ascii="arial" w:hAnsi="arial"/>
                <w:b/>
                <w:color w:val="1070B8"/>
                <w:sz w:val="18"/>
              </w:rPr>
              <w:t>AVERAGE BOARD TENURE</w:t>
            </w:r>
          </w:p>
          <w:p>
            <w:pPr>
              <w:pStyle w:val="TableContents"/>
              <w:bidi w:val="0"/>
              <w:spacing w:before="0" w:after="20"/>
              <w:jc w:val="center"/>
              <w:rPr>
                <w:rFonts w:ascii="arial" w:hAnsi="arial"/>
                <w:b/>
                <w:color w:val="1070B8"/>
                <w:sz w:val="18"/>
              </w:rPr>
            </w:pPr>
            <w:r>
              <w:rPr>
                <w:rFonts w:ascii="arial" w:hAnsi="arial"/>
                <w:b/>
                <w:color w:val="1070B8"/>
                <w:sz w:val="18"/>
              </w:rPr>
              <w:t>One 0-2, Two 3-10, Six 10+</w:t>
            </w:r>
          </w:p>
        </w:tc>
        <w:tc>
          <w:tcPr>
            <w:tcW w:w="60" w:type="dxa"/>
            <w:tcBorders/>
            <w:vAlign w:val="center"/>
          </w:tcPr>
          <w:p>
            <w:pPr>
              <w:pStyle w:val="TableContents"/>
              <w:bidi w:val="0"/>
              <w:spacing w:before="0" w:after="283"/>
              <w:jc w:val="left"/>
              <w:rPr/>
            </w:pPr>
            <w:r>
              <w:rPr/>
              <w:t> </w:t>
            </w:r>
          </w:p>
        </w:tc>
        <w:tc>
          <w:tcPr>
            <w:tcW w:w="120" w:type="dxa"/>
            <w:tcBorders>
              <w:right w:val="single" w:sz="6" w:space="0" w:color="1070B8"/>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4" w:type="dxa"/>
            <w:gridSpan w:val="3"/>
            <w:tcBorders/>
            <w:vAlign w:val="center"/>
          </w:tcPr>
          <w:p>
            <w:pPr>
              <w:pStyle w:val="TableContents"/>
              <w:bidi w:val="0"/>
              <w:spacing w:before="0" w:after="0"/>
              <w:jc w:val="center"/>
              <w:rPr>
                <w:rFonts w:ascii="arial" w:hAnsi="arial"/>
                <w:b/>
                <w:color w:val="1070B8"/>
                <w:sz w:val="18"/>
              </w:rPr>
            </w:pPr>
            <w:r>
              <w:rPr>
                <w:rFonts w:ascii="arial" w:hAnsi="arial"/>
                <w:b/>
                <w:color w:val="1070B8"/>
                <w:sz w:val="18"/>
              </w:rPr>
              <w:t>33%</w:t>
            </w:r>
          </w:p>
          <w:p>
            <w:pPr>
              <w:pStyle w:val="TableContents"/>
              <w:bidi w:val="0"/>
              <w:spacing w:before="0" w:after="0"/>
              <w:jc w:val="center"/>
              <w:rPr>
                <w:rFonts w:ascii="arial" w:hAnsi="arial"/>
                <w:b/>
                <w:color w:val="1070B8"/>
                <w:sz w:val="18"/>
              </w:rPr>
            </w:pPr>
            <w:r>
              <w:rPr>
                <w:rFonts w:ascii="arial" w:hAnsi="arial"/>
                <w:b/>
                <w:color w:val="1070B8"/>
                <w:sz w:val="18"/>
              </w:rPr>
              <w:t>OF THE BOARD ARE DIVERSE</w:t>
            </w:r>
          </w:p>
          <w:p>
            <w:pPr>
              <w:pStyle w:val="TableContents"/>
              <w:bidi w:val="0"/>
              <w:spacing w:before="0" w:after="0"/>
              <w:jc w:val="center"/>
              <w:rPr>
                <w:rFonts w:ascii="arial" w:hAnsi="arial"/>
                <w:b/>
                <w:color w:val="1070B8"/>
                <w:sz w:val="18"/>
              </w:rPr>
            </w:pPr>
            <w:r>
              <w:rPr>
                <w:rFonts w:ascii="arial" w:hAnsi="arial"/>
                <w:b/>
                <w:color w:val="1070B8"/>
                <w:sz w:val="18"/>
              </w:rPr>
              <w:t>Two Black/African American</w:t>
            </w:r>
          </w:p>
          <w:p>
            <w:pPr>
              <w:pStyle w:val="TableContents"/>
              <w:bidi w:val="0"/>
              <w:spacing w:before="0" w:after="20"/>
              <w:jc w:val="center"/>
              <w:rPr>
                <w:rFonts w:ascii="arial" w:hAnsi="arial"/>
                <w:b/>
                <w:color w:val="1070B8"/>
                <w:sz w:val="18"/>
              </w:rPr>
            </w:pPr>
            <w:r>
              <w:rPr>
                <w:rFonts w:ascii="arial" w:hAnsi="arial"/>
                <w:b/>
                <w:color w:val="1070B8"/>
                <w:sz w:val="18"/>
              </w:rPr>
              <w:t>One LGBTQ+</w:t>
            </w:r>
          </w:p>
        </w:tc>
      </w:tr>
    </w:tbl>
    <w:p>
      <w:pPr>
        <w:pStyle w:val="TextBody"/>
        <w:bidi w:val="0"/>
        <w:spacing w:before="600" w:after="0"/>
        <w:jc w:val="left"/>
        <w:rPr>
          <w:rFonts w:ascii="arial" w:hAnsi="arial"/>
          <w:color w:val="1070B8"/>
          <w:sz w:val="20"/>
        </w:rPr>
      </w:pPr>
      <w:r>
        <w:rPr>
          <w:rFonts w:ascii="arial" w:hAnsi="arial"/>
          <w:color w:val="1070B8"/>
          <w:sz w:val="20"/>
        </w:rPr>
        <w:t xml:space="preserve">Board Skill Matrix </w:t>
      </w:r>
    </w:p>
    <w:p>
      <w:pPr>
        <w:pStyle w:val="TextBody"/>
        <w:bidi w:val="0"/>
        <w:spacing w:before="0" w:after="0"/>
        <w:jc w:val="left"/>
        <w:rPr/>
      </w:pPr>
      <w:r>
        <w:rPr/>
        <w:t> </w:t>
      </w:r>
    </w:p>
    <w:tbl>
      <w:tblPr>
        <w:tblW w:w="8546" w:type="dxa"/>
        <w:jc w:val="left"/>
        <w:tblInd w:w="0" w:type="dxa"/>
        <w:tblLayout w:type="fixed"/>
        <w:tblCellMar>
          <w:top w:w="0" w:type="dxa"/>
          <w:left w:w="0" w:type="dxa"/>
          <w:bottom w:w="0" w:type="dxa"/>
          <w:right w:w="0" w:type="dxa"/>
        </w:tblCellMar>
      </w:tblPr>
      <w:tblGrid>
        <w:gridCol w:w="3395"/>
        <w:gridCol w:w="120"/>
        <w:gridCol w:w="23"/>
        <w:gridCol w:w="120"/>
        <w:gridCol w:w="4790"/>
        <w:gridCol w:w="60"/>
        <w:gridCol w:w="38"/>
      </w:tblGrid>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395" w:type="dxa"/>
            <w:tcBorders/>
            <w:shd w:fill="1070B8"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Industry Knowledge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shd w:fill="1070B8" w:val="clear"/>
            <w:vAlign w:val="center"/>
          </w:tcPr>
          <w:p>
            <w:pPr>
              <w:pStyle w:val="TableContents"/>
              <w:bidi w:val="0"/>
              <w:spacing w:before="0" w:after="283"/>
              <w:jc w:val="left"/>
              <w:rPr/>
            </w:pPr>
            <w:r>
              <w:rPr/>
              <w:t>  </w:t>
            </w:r>
          </w:p>
        </w:tc>
        <w:tc>
          <w:tcPr>
            <w:tcW w:w="4790" w:type="dxa"/>
            <w:tcBorders/>
            <w:shd w:fill="1070B8"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Experience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left"/>
              <w:rPr/>
            </w:pPr>
            <w:r>
              <w:rPr/>
              <w:t>  ✓ </w:t>
            </w:r>
            <w:r>
              <w:rPr>
                <w:rFonts w:ascii="arial" w:hAnsi="arial"/>
                <w:sz w:val="16"/>
              </w:rPr>
              <w:t>Housing</w:t>
            </w:r>
          </w:p>
          <w:p>
            <w:pPr>
              <w:pStyle w:val="TableContents"/>
              <w:bidi w:val="0"/>
              <w:spacing w:before="0" w:after="0"/>
              <w:jc w:val="left"/>
              <w:rPr/>
            </w:pPr>
            <w:r>
              <w:rPr/>
              <w:t>  ✓ </w:t>
            </w:r>
            <w:r>
              <w:rPr>
                <w:rFonts w:ascii="arial" w:hAnsi="arial"/>
                <w:sz w:val="16"/>
              </w:rPr>
              <w:t>Construction</w:t>
            </w:r>
          </w:p>
          <w:p>
            <w:pPr>
              <w:pStyle w:val="TableContents"/>
              <w:bidi w:val="0"/>
              <w:spacing w:before="0" w:after="0"/>
              <w:jc w:val="left"/>
              <w:rPr/>
            </w:pPr>
            <w:r>
              <w:rPr/>
              <w:t>  ✓ </w:t>
            </w:r>
            <w:r>
              <w:rPr>
                <w:rFonts w:ascii="arial" w:hAnsi="arial"/>
                <w:sz w:val="16"/>
              </w:rPr>
              <w:t>Building Materials</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vMerge w:val="restart"/>
            <w:tcBorders/>
            <w:vAlign w:val="center"/>
          </w:tcPr>
          <w:p>
            <w:pPr>
              <w:pStyle w:val="TableContents"/>
              <w:bidi w:val="0"/>
              <w:spacing w:before="0" w:after="283"/>
              <w:jc w:val="left"/>
              <w:rPr/>
            </w:pPr>
            <w:r>
              <w:rPr/>
              <w:t>  </w:t>
            </w:r>
          </w:p>
        </w:tc>
        <w:tc>
          <w:tcPr>
            <w:tcW w:w="4790" w:type="dxa"/>
            <w:vMerge w:val="restart"/>
            <w:tcBorders/>
            <w:vAlign w:val="center"/>
          </w:tcPr>
          <w:p>
            <w:pPr>
              <w:pStyle w:val="TableContents"/>
              <w:bidi w:val="0"/>
              <w:spacing w:before="0" w:after="0"/>
              <w:jc w:val="left"/>
              <w:rPr/>
            </w:pPr>
            <w:r>
              <w:rPr/>
              <w:t>  ✓ </w:t>
            </w:r>
            <w:r>
              <w:rPr>
                <w:rFonts w:ascii="arial" w:hAnsi="arial"/>
                <w:sz w:val="16"/>
              </w:rPr>
              <w:t>Public Board</w:t>
            </w:r>
          </w:p>
          <w:p>
            <w:pPr>
              <w:pStyle w:val="TableContents"/>
              <w:bidi w:val="0"/>
              <w:spacing w:before="0" w:after="0"/>
              <w:jc w:val="left"/>
              <w:rPr/>
            </w:pPr>
            <w:r>
              <w:rPr/>
              <w:t>  ✓ </w:t>
            </w:r>
            <w:r>
              <w:rPr>
                <w:rFonts w:ascii="arial" w:hAnsi="arial"/>
                <w:sz w:val="16"/>
              </w:rPr>
              <w:t>Audit Committee</w:t>
            </w:r>
          </w:p>
          <w:p>
            <w:pPr>
              <w:pStyle w:val="TableContents"/>
              <w:bidi w:val="0"/>
              <w:spacing w:before="0" w:after="0"/>
              <w:jc w:val="left"/>
              <w:rPr/>
            </w:pPr>
            <w:r>
              <w:rPr/>
              <w:t>  ✓ </w:t>
            </w:r>
            <w:r>
              <w:rPr>
                <w:rFonts w:ascii="arial" w:hAnsi="arial"/>
                <w:sz w:val="16"/>
              </w:rPr>
              <w:t>Compensation Committee</w:t>
            </w:r>
          </w:p>
          <w:p>
            <w:pPr>
              <w:pStyle w:val="TableContents"/>
              <w:bidi w:val="0"/>
              <w:spacing w:before="0" w:after="0"/>
              <w:jc w:val="left"/>
              <w:rPr/>
            </w:pPr>
            <w:r>
              <w:rPr/>
              <w:t>  ✓ </w:t>
            </w:r>
            <w:r>
              <w:rPr>
                <w:rFonts w:ascii="arial" w:hAnsi="arial"/>
                <w:sz w:val="16"/>
              </w:rPr>
              <w:t>Corporate Governance / Nominating Committee</w:t>
            </w:r>
          </w:p>
          <w:p>
            <w:pPr>
              <w:pStyle w:val="TableContents"/>
              <w:bidi w:val="0"/>
              <w:spacing w:before="0" w:after="0"/>
              <w:jc w:val="left"/>
              <w:rPr/>
            </w:pPr>
            <w:r>
              <w:rPr/>
              <w:t>  ✓ </w:t>
            </w:r>
            <w:r>
              <w:rPr>
                <w:rFonts w:ascii="arial" w:hAnsi="arial"/>
                <w:sz w:val="16"/>
              </w:rPr>
              <w:t>Executive Leadership</w:t>
            </w:r>
          </w:p>
          <w:p>
            <w:pPr>
              <w:pStyle w:val="TableContents"/>
              <w:bidi w:val="0"/>
              <w:spacing w:before="0" w:after="0"/>
              <w:jc w:val="left"/>
              <w:rPr/>
            </w:pPr>
            <w:r>
              <w:rPr/>
              <w:t>  ✓ </w:t>
            </w:r>
            <w:r>
              <w:rPr>
                <w:rFonts w:ascii="arial" w:hAnsi="arial"/>
                <w:sz w:val="16"/>
              </w:rPr>
              <w:t>Strategic / Operational / Industrial Distribution</w:t>
            </w:r>
          </w:p>
          <w:p>
            <w:pPr>
              <w:pStyle w:val="TableContents"/>
              <w:bidi w:val="0"/>
              <w:spacing w:before="0" w:after="0"/>
              <w:jc w:val="left"/>
              <w:rPr/>
            </w:pPr>
            <w:r>
              <w:rPr/>
              <w:t>  ✓ </w:t>
            </w:r>
            <w:r>
              <w:rPr>
                <w:rFonts w:ascii="arial" w:hAnsi="arial"/>
                <w:sz w:val="16"/>
              </w:rPr>
              <w:t>Human Capital Management</w:t>
            </w:r>
          </w:p>
          <w:p>
            <w:pPr>
              <w:pStyle w:val="TableContents"/>
              <w:bidi w:val="0"/>
              <w:spacing w:before="0" w:after="0"/>
              <w:jc w:val="left"/>
              <w:rPr/>
            </w:pPr>
            <w:r>
              <w:rPr/>
              <w:t>  ✓ </w:t>
            </w:r>
            <w:r>
              <w:rPr>
                <w:rFonts w:ascii="arial" w:hAnsi="arial"/>
                <w:sz w:val="16"/>
              </w:rPr>
              <w:t>IT / Technology / Cybersecurity / Digital Transformation</w:t>
            </w:r>
          </w:p>
          <w:p>
            <w:pPr>
              <w:pStyle w:val="TableContents"/>
              <w:bidi w:val="0"/>
              <w:spacing w:before="0" w:after="20"/>
              <w:jc w:val="left"/>
              <w:rPr/>
            </w:pPr>
            <w:r>
              <w:rPr/>
              <w:t>  ✓ </w:t>
            </w:r>
            <w:r>
              <w:rPr>
                <w:rFonts w:ascii="arial" w:hAnsi="arial"/>
                <w:sz w:val="16"/>
              </w:rPr>
              <w:t>Environmental, Social and Governance</w:t>
            </w:r>
          </w:p>
        </w:tc>
        <w:tc>
          <w:tcPr>
            <w:tcW w:w="60" w:type="dxa"/>
            <w:vMerge w:val="restart"/>
            <w:tcBorders/>
            <w:vAlign w:val="center"/>
          </w:tcPr>
          <w:p>
            <w:pPr>
              <w:pStyle w:val="TableContents"/>
              <w:bidi w:val="0"/>
              <w:spacing w:before="0" w:after="283"/>
              <w:jc w:val="left"/>
              <w:rPr/>
            </w:pPr>
            <w:r>
              <w:rPr/>
              <w:t> </w:t>
            </w:r>
          </w:p>
        </w:tc>
        <w:tc>
          <w:tcPr>
            <w:tcW w:w="38" w:type="dxa"/>
            <w:vMerge w:val="restart"/>
            <w:tcBorders/>
            <w:vAlign w:val="center"/>
          </w:tcPr>
          <w:p>
            <w:pPr>
              <w:pStyle w:val="TableContents"/>
              <w:bidi w:val="0"/>
              <w:spacing w:before="0" w:after="283"/>
              <w:jc w:val="left"/>
              <w:rPr>
                <w:sz w:val="4"/>
                <w:szCs w:val="4"/>
              </w:rPr>
            </w:pPr>
            <w:r>
              <w:rPr>
                <w:sz w:val="4"/>
                <w:szCs w:val="4"/>
              </w:rPr>
            </w:r>
          </w:p>
        </w:tc>
      </w:tr>
      <w:tr>
        <w:trPr/>
        <w:tc>
          <w:tcPr>
            <w:tcW w:w="3395" w:type="dxa"/>
            <w:tcBorders/>
            <w:shd w:fill="1070B8"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Financial Skills</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479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38" w:type="dxa"/>
            <w:vMerge w:val="continue"/>
            <w:tcBorders/>
            <w:vAlign w:val="center"/>
          </w:tcPr>
          <w:p>
            <w:pPr>
              <w:pStyle w:val="Normal"/>
              <w:bidi w:val="0"/>
              <w:jc w:val="left"/>
              <w:rPr/>
            </w:pPr>
            <w:r>
              <w:rPr/>
            </w:r>
          </w:p>
        </w:tc>
      </w:tr>
      <w:tr>
        <w:trPr/>
        <w:tc>
          <w:tcPr>
            <w:tcW w:w="3395" w:type="dxa"/>
            <w:tcBorders/>
            <w:vAlign w:val="center"/>
          </w:tcPr>
          <w:p>
            <w:pPr>
              <w:pStyle w:val="TableContents"/>
              <w:bidi w:val="0"/>
              <w:spacing w:before="0" w:after="0"/>
              <w:jc w:val="left"/>
              <w:rPr/>
            </w:pPr>
            <w:r>
              <w:rPr/>
              <w:t>  ✓ </w:t>
            </w:r>
            <w:r>
              <w:rPr>
                <w:rFonts w:ascii="arial" w:hAnsi="arial"/>
                <w:sz w:val="16"/>
              </w:rPr>
              <w:t>Public Company Financial Reporting</w:t>
            </w:r>
          </w:p>
          <w:p>
            <w:pPr>
              <w:pStyle w:val="TableContents"/>
              <w:bidi w:val="0"/>
              <w:spacing w:before="0" w:after="0"/>
              <w:jc w:val="left"/>
              <w:rPr/>
            </w:pPr>
            <w:r>
              <w:rPr/>
              <w:t>  ✓ </w:t>
            </w:r>
            <w:r>
              <w:rPr>
                <w:rFonts w:ascii="arial" w:hAnsi="arial"/>
                <w:sz w:val="16"/>
              </w:rPr>
              <w:t>Capital Structure Experience</w:t>
            </w:r>
          </w:p>
          <w:p>
            <w:pPr>
              <w:pStyle w:val="TableContents"/>
              <w:bidi w:val="0"/>
              <w:spacing w:before="0" w:after="0"/>
              <w:jc w:val="left"/>
              <w:rPr/>
            </w:pPr>
            <w:r>
              <w:rPr/>
              <w:t>  ✓ </w:t>
            </w:r>
            <w:r>
              <w:rPr>
                <w:rFonts w:ascii="arial" w:hAnsi="arial"/>
                <w:sz w:val="16"/>
              </w:rPr>
              <w:t>M&amp;A Transactions</w:t>
            </w:r>
          </w:p>
          <w:p>
            <w:pPr>
              <w:pStyle w:val="TableContents"/>
              <w:bidi w:val="0"/>
              <w:spacing w:before="0" w:after="20"/>
              <w:jc w:val="left"/>
              <w:rPr/>
            </w:pPr>
            <w:r>
              <w:rPr/>
              <w:t>  ✓ </w:t>
            </w:r>
            <w:r>
              <w:rPr>
                <w:rFonts w:ascii="arial" w:hAnsi="arial"/>
                <w:sz w:val="16"/>
              </w:rPr>
              <w:t>Risk Management</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479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38"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Proxy Summary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10" w:name="toc849638_10"/>
      <w:bookmarkEnd w:id="10"/>
      <w:r>
        <w:rPr>
          <w:rFonts w:ascii="arial" w:hAnsi="arial"/>
          <w:b/>
          <w:color w:val="1F295C"/>
          <w:sz w:val="24"/>
        </w:rPr>
        <w:t xml:space="preserve">2024 Executive Compensation at a Glance </w:t>
      </w:r>
    </w:p>
    <w:p>
      <w:pPr>
        <w:pStyle w:val="TextBody"/>
        <w:bidi w:val="0"/>
        <w:spacing w:before="0" w:after="0"/>
        <w:jc w:val="left"/>
        <w:rPr/>
      </w:pPr>
      <w:r>
        <w:rPr/>
        <w:t> </w:t>
      </w:r>
    </w:p>
    <w:tbl>
      <w:tblPr>
        <w:tblW w:w="8387" w:type="dxa"/>
        <w:jc w:val="left"/>
        <w:tblInd w:w="0" w:type="dxa"/>
        <w:tblLayout w:type="fixed"/>
        <w:tblCellMar>
          <w:top w:w="0" w:type="dxa"/>
          <w:left w:w="0" w:type="dxa"/>
          <w:bottom w:w="0" w:type="dxa"/>
          <w:right w:w="0" w:type="dxa"/>
        </w:tblCellMar>
      </w:tblPr>
      <w:tblGrid>
        <w:gridCol w:w="1895"/>
        <w:gridCol w:w="120"/>
        <w:gridCol w:w="60"/>
        <w:gridCol w:w="60"/>
        <w:gridCol w:w="800"/>
        <w:gridCol w:w="23"/>
        <w:gridCol w:w="120"/>
        <w:gridCol w:w="94"/>
        <w:gridCol w:w="94"/>
        <w:gridCol w:w="1535"/>
        <w:gridCol w:w="37"/>
        <w:gridCol w:w="120"/>
        <w:gridCol w:w="94"/>
        <w:gridCol w:w="94"/>
        <w:gridCol w:w="1535"/>
        <w:gridCol w:w="37"/>
        <w:gridCol w:w="120"/>
        <w:gridCol w:w="62"/>
        <w:gridCol w:w="62"/>
        <w:gridCol w:w="1386"/>
        <w:gridCol w:w="39"/>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tcMar>
              <w:bottom w:w="28" w:type="dxa"/>
            </w:tcMar>
            <w:vAlign w:val="center"/>
          </w:tcPr>
          <w:p>
            <w:pPr>
              <w:pStyle w:val="TableContents"/>
              <w:bidi w:val="0"/>
              <w:spacing w:before="0" w:after="0"/>
              <w:jc w:val="left"/>
              <w:rPr>
                <w:rFonts w:ascii="arial" w:hAnsi="arial"/>
                <w:b/>
                <w:color w:val="1F295C"/>
                <w:sz w:val="18"/>
              </w:rPr>
            </w:pPr>
            <w:r>
              <w:rPr>
                <w:rFonts w:ascii="arial" w:hAnsi="arial"/>
                <w:b/>
                <w:color w:val="1F295C"/>
                <w:sz w:val="18"/>
              </w:rPr>
              <w:t>Name</w:t>
            </w:r>
          </w:p>
          <w:p>
            <w:pPr>
              <w:pStyle w:val="TableContents"/>
              <w:bidi w:val="0"/>
              <w:spacing w:before="0" w:after="20"/>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943" w:type="dxa"/>
            <w:gridSpan w:val="4"/>
            <w:tcBorders>
              <w:bottom w:val="single" w:sz="12" w:space="0" w:color="1070B8"/>
            </w:tcBorders>
            <w:tcMar>
              <w:bottom w:w="28" w:type="dxa"/>
            </w:tcMar>
            <w:vAlign w:val="center"/>
          </w:tcPr>
          <w:p>
            <w:pPr>
              <w:pStyle w:val="TableContents"/>
              <w:bidi w:val="0"/>
              <w:spacing w:before="0" w:after="0"/>
              <w:jc w:val="center"/>
              <w:rPr>
                <w:rFonts w:ascii="arial" w:hAnsi="arial"/>
                <w:b/>
                <w:color w:val="1F295C"/>
                <w:sz w:val="18"/>
              </w:rPr>
            </w:pPr>
            <w:r>
              <w:rPr>
                <w:rFonts w:ascii="arial" w:hAnsi="arial"/>
                <w:b/>
                <w:color w:val="1F295C"/>
                <w:sz w:val="18"/>
              </w:rPr>
              <w:t>Base</w:t>
              <w:br/>
              <w:t>Salary</w:t>
              <w:br/>
              <w:t>($)(1)</w:t>
            </w:r>
          </w:p>
          <w:p>
            <w:pPr>
              <w:pStyle w:val="TableContents"/>
              <w:bidi w:val="0"/>
              <w:spacing w:before="0" w:after="20"/>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760" w:type="dxa"/>
            <w:gridSpan w:val="4"/>
            <w:tcBorders>
              <w:bottom w:val="single" w:sz="12" w:space="0" w:color="1070B8"/>
            </w:tcBorders>
            <w:tcMar>
              <w:bottom w:w="28" w:type="dxa"/>
            </w:tcMar>
            <w:vAlign w:val="center"/>
          </w:tcPr>
          <w:p>
            <w:pPr>
              <w:pStyle w:val="TableContents"/>
              <w:bidi w:val="0"/>
              <w:spacing w:before="0" w:after="0"/>
              <w:jc w:val="center"/>
              <w:rPr>
                <w:rFonts w:ascii="arial" w:hAnsi="arial"/>
                <w:b/>
                <w:color w:val="1F295C"/>
                <w:sz w:val="18"/>
              </w:rPr>
            </w:pPr>
            <w:r>
              <w:rPr>
                <w:rFonts w:ascii="arial" w:hAnsi="arial"/>
                <w:b/>
                <w:color w:val="1F295C"/>
                <w:sz w:val="18"/>
              </w:rPr>
              <w:t>Performance-Based</w:t>
              <w:br/>
              <w:t>Cash Award Earned</w:t>
              <w:br/>
              <w:t>($)</w:t>
            </w:r>
          </w:p>
          <w:p>
            <w:pPr>
              <w:pStyle w:val="TableContents"/>
              <w:bidi w:val="0"/>
              <w:spacing w:before="0" w:after="20"/>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760" w:type="dxa"/>
            <w:gridSpan w:val="4"/>
            <w:tcBorders>
              <w:bottom w:val="single" w:sz="12" w:space="0" w:color="1070B8"/>
            </w:tcBorders>
            <w:tcMar>
              <w:bottom w:w="28" w:type="dxa"/>
            </w:tcMar>
            <w:vAlign w:val="center"/>
          </w:tcPr>
          <w:p>
            <w:pPr>
              <w:pStyle w:val="TableContents"/>
              <w:bidi w:val="0"/>
              <w:spacing w:before="0" w:after="0"/>
              <w:jc w:val="center"/>
              <w:rPr>
                <w:rFonts w:ascii="arial" w:hAnsi="arial"/>
                <w:b/>
                <w:color w:val="1F295C"/>
                <w:sz w:val="18"/>
              </w:rPr>
            </w:pPr>
            <w:r>
              <w:rPr>
                <w:rFonts w:ascii="arial" w:hAnsi="arial"/>
                <w:b/>
                <w:color w:val="1F295C"/>
                <w:sz w:val="18"/>
              </w:rPr>
              <w:t>Performance-Based</w:t>
              <w:br/>
              <w:t>Restricted Stock</w:t>
              <w:br/>
              <w:t>Award Earned</w:t>
            </w:r>
          </w:p>
          <w:p>
            <w:pPr>
              <w:pStyle w:val="TableContents"/>
              <w:bidi w:val="0"/>
              <w:spacing w:before="0" w:after="0"/>
              <w:jc w:val="center"/>
              <w:rPr>
                <w:rFonts w:ascii="arial" w:hAnsi="arial"/>
                <w:b/>
                <w:color w:val="1F295C"/>
                <w:sz w:val="18"/>
              </w:rPr>
            </w:pPr>
            <w:r>
              <w:rPr>
                <w:rFonts w:ascii="arial" w:hAnsi="arial"/>
                <w:b/>
                <w:color w:val="1F295C"/>
                <w:sz w:val="18"/>
              </w:rPr>
              <w:t>Fair Value</w:t>
            </w:r>
          </w:p>
          <w:p>
            <w:pPr>
              <w:pStyle w:val="TableContents"/>
              <w:bidi w:val="0"/>
              <w:spacing w:before="0" w:after="0"/>
              <w:jc w:val="center"/>
              <w:rPr>
                <w:rFonts w:ascii="arial" w:hAnsi="arial"/>
                <w:b/>
                <w:color w:val="1F295C"/>
                <w:sz w:val="18"/>
              </w:rPr>
            </w:pPr>
            <w:r>
              <w:rPr>
                <w:rFonts w:ascii="arial" w:hAnsi="arial"/>
                <w:b/>
                <w:color w:val="1F295C"/>
                <w:sz w:val="18"/>
              </w:rPr>
              <w:t>($)(2)</w:t>
            </w:r>
          </w:p>
          <w:p>
            <w:pPr>
              <w:pStyle w:val="TableContents"/>
              <w:bidi w:val="0"/>
              <w:spacing w:before="0" w:after="20"/>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549" w:type="dxa"/>
            <w:gridSpan w:val="4"/>
            <w:tcBorders>
              <w:bottom w:val="single" w:sz="12" w:space="0" w:color="1070B8"/>
            </w:tcBorders>
            <w:tcMar>
              <w:bottom w:w="28" w:type="dxa"/>
            </w:tcMar>
            <w:vAlign w:val="center"/>
          </w:tcPr>
          <w:p>
            <w:pPr>
              <w:pStyle w:val="TableContents"/>
              <w:bidi w:val="0"/>
              <w:spacing w:before="0" w:after="0"/>
              <w:jc w:val="center"/>
              <w:rPr>
                <w:rFonts w:ascii="arial" w:hAnsi="arial"/>
                <w:b/>
                <w:color w:val="1F295C"/>
                <w:sz w:val="18"/>
              </w:rPr>
            </w:pPr>
            <w:r>
              <w:rPr>
                <w:rFonts w:ascii="arial" w:hAnsi="arial"/>
                <w:b/>
                <w:color w:val="1F295C"/>
                <w:sz w:val="18"/>
              </w:rPr>
              <w:t>Earned  </w:t>
              <w:br/>
              <w:t>Compensation  </w:t>
              <w:br/>
              <w:t>Total  </w:t>
            </w:r>
          </w:p>
          <w:p>
            <w:pPr>
              <w:pStyle w:val="TableContents"/>
              <w:bidi w:val="0"/>
              <w:spacing w:before="0" w:after="0"/>
              <w:jc w:val="center"/>
              <w:rPr>
                <w:rFonts w:ascii="arial" w:hAnsi="arial"/>
                <w:b/>
                <w:color w:val="1F295C"/>
                <w:sz w:val="18"/>
              </w:rPr>
            </w:pPr>
            <w:r>
              <w:rPr>
                <w:rFonts w:ascii="arial" w:hAnsi="arial"/>
                <w:b/>
                <w:color w:val="1F295C"/>
                <w:sz w:val="18"/>
              </w:rPr>
              <w:t>($)  </w:t>
            </w:r>
          </w:p>
          <w:p>
            <w:pPr>
              <w:pStyle w:val="TableContents"/>
              <w:bidi w:val="0"/>
              <w:spacing w:before="0" w:after="20"/>
              <w:jc w:val="left"/>
              <w:rPr/>
            </w:pPr>
            <w:r>
              <w:rPr/>
              <w:t> </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880" w:type="dxa"/>
            <w:gridSpan w:val="5"/>
            <w:tcBorders/>
            <w:vAlign w:val="center"/>
          </w:tcPr>
          <w:p>
            <w:pPr>
              <w:pStyle w:val="TableContents"/>
              <w:bidi w:val="0"/>
              <w:spacing w:before="0" w:after="283"/>
              <w:jc w:val="left"/>
              <w:rPr>
                <w:sz w:val="4"/>
                <w:szCs w:val="4"/>
              </w:rPr>
            </w:pPr>
            <w:r>
              <w:rPr>
                <w:sz w:val="4"/>
                <w:szCs w:val="4"/>
              </w:rPr>
            </w:r>
          </w:p>
        </w:tc>
        <w:tc>
          <w:tcPr>
            <w:tcW w:w="1880" w:type="dxa"/>
            <w:gridSpan w:val="5"/>
            <w:tcBorders/>
            <w:vAlign w:val="center"/>
          </w:tcPr>
          <w:p>
            <w:pPr>
              <w:pStyle w:val="TableContents"/>
              <w:bidi w:val="0"/>
              <w:spacing w:before="0" w:after="283"/>
              <w:jc w:val="left"/>
              <w:rPr>
                <w:sz w:val="4"/>
                <w:szCs w:val="4"/>
              </w:rPr>
            </w:pPr>
            <w:r>
              <w:rPr>
                <w:sz w:val="4"/>
                <w:szCs w:val="4"/>
              </w:rPr>
            </w:r>
          </w:p>
        </w:tc>
        <w:tc>
          <w:tcPr>
            <w:tcW w:w="1669"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before="0" w:after="0"/>
              <w:jc w:val="left"/>
              <w:rPr/>
            </w:pPr>
            <w:r>
              <w:rPr/>
              <w:t> </w:t>
            </w:r>
            <w:r>
              <w:rPr>
                <w:rFonts w:ascii="arial" w:hAnsi="arial"/>
                <w:sz w:val="20"/>
              </w:rPr>
              <w:t>Jeffrey W. Edwards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900,000</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1,247,480</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3,186,637</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386" w:type="dxa"/>
            <w:tcBorders>
              <w:bottom w:val="single" w:sz="6" w:space="0" w:color="000000"/>
            </w:tcBorders>
            <w:tcMar>
              <w:bottom w:w="28" w:type="dxa"/>
            </w:tcMar>
            <w:vAlign w:val="center"/>
          </w:tcPr>
          <w:p>
            <w:pPr>
              <w:pStyle w:val="TableContents"/>
              <w:bidi w:val="0"/>
              <w:spacing w:before="0" w:after="283"/>
              <w:jc w:val="right"/>
              <w:rPr/>
            </w:pPr>
            <w:r>
              <w:rPr/>
              <w:t>5,334,117  </w:t>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before="0" w:after="0"/>
              <w:jc w:val="left"/>
              <w:rPr/>
            </w:pPr>
            <w:r>
              <w:rPr/>
              <w:t> </w:t>
            </w:r>
            <w:r>
              <w:rPr>
                <w:rFonts w:ascii="arial" w:hAnsi="arial"/>
                <w:sz w:val="20"/>
              </w:rPr>
              <w:t>Michael T. Miller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475,000</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455,810</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995,814</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386" w:type="dxa"/>
            <w:tcBorders>
              <w:bottom w:val="single" w:sz="6" w:space="0" w:color="000000"/>
            </w:tcBorders>
            <w:tcMar>
              <w:bottom w:w="28" w:type="dxa"/>
            </w:tcMar>
            <w:vAlign w:val="center"/>
          </w:tcPr>
          <w:p>
            <w:pPr>
              <w:pStyle w:val="TableContents"/>
              <w:bidi w:val="0"/>
              <w:spacing w:before="0" w:after="283"/>
              <w:jc w:val="right"/>
              <w:rPr/>
            </w:pPr>
            <w:r>
              <w:rPr/>
              <w:t>1,926,624  </w:t>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before="0" w:after="0"/>
              <w:jc w:val="left"/>
              <w:rPr/>
            </w:pPr>
            <w:r>
              <w:rPr/>
              <w:t> </w:t>
            </w:r>
            <w:r>
              <w:rPr>
                <w:rFonts w:ascii="arial" w:hAnsi="arial"/>
                <w:sz w:val="20"/>
              </w:rPr>
              <w:t>Brad A. Wheeler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485,000</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431,820</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796,618</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386" w:type="dxa"/>
            <w:tcBorders>
              <w:bottom w:val="single" w:sz="6" w:space="0" w:color="000000"/>
            </w:tcBorders>
            <w:tcMar>
              <w:bottom w:w="28" w:type="dxa"/>
            </w:tcMar>
            <w:vAlign w:val="center"/>
          </w:tcPr>
          <w:p>
            <w:pPr>
              <w:pStyle w:val="TableContents"/>
              <w:bidi w:val="0"/>
              <w:spacing w:before="0" w:after="283"/>
              <w:jc w:val="right"/>
              <w:rPr/>
            </w:pPr>
            <w:r>
              <w:rPr/>
              <w:t>1,713,438  </w:t>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before="0" w:after="0"/>
              <w:jc w:val="left"/>
              <w:rPr/>
            </w:pPr>
            <w:r>
              <w:rPr/>
              <w:t> </w:t>
            </w:r>
            <w:r>
              <w:rPr>
                <w:rFonts w:ascii="arial" w:hAnsi="arial"/>
                <w:sz w:val="20"/>
              </w:rPr>
              <w:t>W. Jeffrey Hire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450,000</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215,910</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219,049</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386" w:type="dxa"/>
            <w:tcBorders>
              <w:bottom w:val="single" w:sz="6" w:space="0" w:color="000000"/>
            </w:tcBorders>
            <w:tcMar>
              <w:bottom w:w="28" w:type="dxa"/>
            </w:tcMar>
            <w:vAlign w:val="center"/>
          </w:tcPr>
          <w:p>
            <w:pPr>
              <w:pStyle w:val="TableContents"/>
              <w:bidi w:val="0"/>
              <w:spacing w:before="0" w:after="283"/>
              <w:jc w:val="right"/>
              <w:rPr/>
            </w:pPr>
            <w:r>
              <w:rPr/>
              <w:t>884,959  </w:t>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shd w:fill="D5DBE3" w:val="clear"/>
            <w:tcMar>
              <w:bottom w:w="28" w:type="dxa"/>
            </w:tcMar>
            <w:vAlign w:val="center"/>
          </w:tcPr>
          <w:p>
            <w:pPr>
              <w:pStyle w:val="TableContents"/>
              <w:bidi w:val="0"/>
              <w:spacing w:before="0" w:after="0"/>
              <w:jc w:val="left"/>
              <w:rPr/>
            </w:pPr>
            <w:r>
              <w:rPr/>
              <w:t> </w:t>
            </w:r>
            <w:r>
              <w:rPr>
                <w:rFonts w:ascii="arial" w:hAnsi="arial"/>
                <w:sz w:val="20"/>
              </w:rPr>
              <w:t>Jason R. Niswonger</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800" w:type="dxa"/>
            <w:tcBorders>
              <w:bottom w:val="single" w:sz="12" w:space="0" w:color="1070B8"/>
            </w:tcBorders>
            <w:tcMar>
              <w:bottom w:w="28" w:type="dxa"/>
            </w:tcMar>
            <w:vAlign w:val="center"/>
          </w:tcPr>
          <w:p>
            <w:pPr>
              <w:pStyle w:val="TableContents"/>
              <w:bidi w:val="0"/>
              <w:spacing w:before="0" w:after="283"/>
              <w:jc w:val="right"/>
              <w:rPr/>
            </w:pPr>
            <w:r>
              <w:rPr/>
              <w:t>465,000</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94" w:type="dxa"/>
            <w:tcBorders>
              <w:bottom w:val="single" w:sz="12" w:space="0" w:color="1070B8"/>
            </w:tcBorders>
            <w:tcMar>
              <w:bottom w:w="28" w:type="dxa"/>
            </w:tcMar>
            <w:vAlign w:val="center"/>
          </w:tcPr>
          <w:p>
            <w:pPr>
              <w:pStyle w:val="TableContents"/>
              <w:bidi w:val="0"/>
              <w:spacing w:before="0" w:after="283"/>
              <w:jc w:val="left"/>
              <w:rPr/>
            </w:pPr>
            <w:r>
              <w:rPr/>
              <w:t> </w:t>
            </w:r>
          </w:p>
        </w:tc>
        <w:tc>
          <w:tcPr>
            <w:tcW w:w="94" w:type="dxa"/>
            <w:tcBorders>
              <w:bottom w:val="single" w:sz="12" w:space="0" w:color="1070B8"/>
            </w:tcBorders>
            <w:tcMar>
              <w:bottom w:w="28" w:type="dxa"/>
            </w:tcMar>
            <w:vAlign w:val="center"/>
          </w:tcPr>
          <w:p>
            <w:pPr>
              <w:pStyle w:val="TableContents"/>
              <w:bidi w:val="0"/>
              <w:spacing w:before="0" w:after="283"/>
              <w:jc w:val="left"/>
              <w:rPr/>
            </w:pPr>
            <w:r>
              <w:rPr/>
              <w:t> </w:t>
            </w:r>
          </w:p>
        </w:tc>
        <w:tc>
          <w:tcPr>
            <w:tcW w:w="1535" w:type="dxa"/>
            <w:tcBorders>
              <w:bottom w:val="single" w:sz="12" w:space="0" w:color="1070B8"/>
            </w:tcBorders>
            <w:tcMar>
              <w:bottom w:w="28" w:type="dxa"/>
            </w:tcMar>
            <w:vAlign w:val="center"/>
          </w:tcPr>
          <w:p>
            <w:pPr>
              <w:pStyle w:val="TableContents"/>
              <w:bidi w:val="0"/>
              <w:spacing w:before="0" w:after="283"/>
              <w:jc w:val="right"/>
              <w:rPr/>
            </w:pPr>
            <w:r>
              <w:rPr/>
              <w:t>278,284</w:t>
            </w:r>
          </w:p>
        </w:tc>
        <w:tc>
          <w:tcPr>
            <w:tcW w:w="37"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94" w:type="dxa"/>
            <w:tcBorders>
              <w:bottom w:val="single" w:sz="12" w:space="0" w:color="1070B8"/>
            </w:tcBorders>
            <w:tcMar>
              <w:bottom w:w="28" w:type="dxa"/>
            </w:tcMar>
            <w:vAlign w:val="center"/>
          </w:tcPr>
          <w:p>
            <w:pPr>
              <w:pStyle w:val="TableContents"/>
              <w:bidi w:val="0"/>
              <w:spacing w:before="0" w:after="283"/>
              <w:jc w:val="left"/>
              <w:rPr/>
            </w:pPr>
            <w:r>
              <w:rPr/>
              <w:t> </w:t>
            </w:r>
          </w:p>
        </w:tc>
        <w:tc>
          <w:tcPr>
            <w:tcW w:w="94" w:type="dxa"/>
            <w:tcBorders>
              <w:bottom w:val="single" w:sz="12" w:space="0" w:color="1070B8"/>
            </w:tcBorders>
            <w:tcMar>
              <w:bottom w:w="28" w:type="dxa"/>
            </w:tcMar>
            <w:vAlign w:val="center"/>
          </w:tcPr>
          <w:p>
            <w:pPr>
              <w:pStyle w:val="TableContents"/>
              <w:bidi w:val="0"/>
              <w:spacing w:before="0" w:after="283"/>
              <w:jc w:val="left"/>
              <w:rPr/>
            </w:pPr>
            <w:r>
              <w:rPr/>
              <w:t> </w:t>
            </w:r>
          </w:p>
        </w:tc>
        <w:tc>
          <w:tcPr>
            <w:tcW w:w="1535" w:type="dxa"/>
            <w:tcBorders>
              <w:bottom w:val="single" w:sz="12" w:space="0" w:color="1070B8"/>
            </w:tcBorders>
            <w:tcMar>
              <w:bottom w:w="28" w:type="dxa"/>
            </w:tcMar>
            <w:vAlign w:val="center"/>
          </w:tcPr>
          <w:p>
            <w:pPr>
              <w:pStyle w:val="TableContents"/>
              <w:bidi w:val="0"/>
              <w:spacing w:before="0" w:after="283"/>
              <w:jc w:val="right"/>
              <w:rPr/>
            </w:pPr>
            <w:r>
              <w:rPr/>
              <w:t>398,227</w:t>
            </w:r>
          </w:p>
        </w:tc>
        <w:tc>
          <w:tcPr>
            <w:tcW w:w="37"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62" w:type="dxa"/>
            <w:tcBorders>
              <w:bottom w:val="single" w:sz="12" w:space="0" w:color="1070B8"/>
            </w:tcBorders>
            <w:tcMar>
              <w:bottom w:w="28" w:type="dxa"/>
            </w:tcMar>
            <w:vAlign w:val="center"/>
          </w:tcPr>
          <w:p>
            <w:pPr>
              <w:pStyle w:val="TableContents"/>
              <w:bidi w:val="0"/>
              <w:spacing w:before="0" w:after="283"/>
              <w:jc w:val="left"/>
              <w:rPr/>
            </w:pPr>
            <w:r>
              <w:rPr/>
              <w:t> </w:t>
            </w:r>
          </w:p>
        </w:tc>
        <w:tc>
          <w:tcPr>
            <w:tcW w:w="62" w:type="dxa"/>
            <w:tcBorders>
              <w:bottom w:val="single" w:sz="12" w:space="0" w:color="1070B8"/>
            </w:tcBorders>
            <w:tcMar>
              <w:bottom w:w="28" w:type="dxa"/>
            </w:tcMar>
            <w:vAlign w:val="center"/>
          </w:tcPr>
          <w:p>
            <w:pPr>
              <w:pStyle w:val="TableContents"/>
              <w:bidi w:val="0"/>
              <w:spacing w:before="0" w:after="283"/>
              <w:jc w:val="left"/>
              <w:rPr/>
            </w:pPr>
            <w:r>
              <w:rPr/>
              <w:t> </w:t>
            </w:r>
          </w:p>
        </w:tc>
        <w:tc>
          <w:tcPr>
            <w:tcW w:w="1386" w:type="dxa"/>
            <w:tcBorders>
              <w:bottom w:val="single" w:sz="12" w:space="0" w:color="1070B8"/>
            </w:tcBorders>
            <w:tcMar>
              <w:bottom w:w="28" w:type="dxa"/>
            </w:tcMar>
            <w:vAlign w:val="center"/>
          </w:tcPr>
          <w:p>
            <w:pPr>
              <w:pStyle w:val="TableContents"/>
              <w:bidi w:val="0"/>
              <w:spacing w:before="0" w:after="283"/>
              <w:jc w:val="right"/>
              <w:rPr/>
            </w:pPr>
            <w:r>
              <w:rPr/>
              <w:t>1,141,511  </w:t>
            </w:r>
          </w:p>
        </w:tc>
        <w:tc>
          <w:tcPr>
            <w:tcW w:w="39"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75"/>
        <w:gridCol w:w="290"/>
        <w:gridCol w:w="20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2090" w:type="dxa"/>
            <w:tcBorders/>
            <w:vAlign w:val="center"/>
          </w:tcPr>
          <w:p>
            <w:pPr>
              <w:pStyle w:val="TableContents"/>
              <w:bidi w:val="0"/>
              <w:spacing w:before="0" w:after="0"/>
              <w:jc w:val="left"/>
              <w:rPr>
                <w:rFonts w:ascii="arial" w:hAnsi="arial"/>
                <w:sz w:val="20"/>
              </w:rPr>
            </w:pPr>
            <w:r>
              <w:rPr>
                <w:rFonts w:ascii="arial" w:hAnsi="arial"/>
                <w:sz w:val="20"/>
              </w:rPr>
              <w:t xml:space="preserve">Effective April 1, 2024. </w:t>
            </w:r>
          </w:p>
        </w:tc>
      </w:tr>
    </w:tbl>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(2)</w:t>
            </w:r>
          </w:p>
        </w:tc>
        <w:tc>
          <w:tcPr>
            <w:tcW w:w="9893" w:type="dxa"/>
            <w:tcBorders/>
            <w:vAlign w:val="center"/>
          </w:tcPr>
          <w:p>
            <w:pPr>
              <w:pStyle w:val="TableContents"/>
              <w:bidi w:val="0"/>
              <w:spacing w:before="0" w:after="0"/>
              <w:jc w:val="left"/>
              <w:rPr>
                <w:rFonts w:ascii="arial" w:hAnsi="arial"/>
                <w:sz w:val="20"/>
              </w:rPr>
            </w:pPr>
            <w:r>
              <w:rPr>
                <w:rFonts w:ascii="arial" w:hAnsi="arial"/>
                <w:sz w:val="20"/>
              </w:rPr>
              <w:t xml:space="preserve">The earned fair value was determined by multiplying the closing price of the Company’s common stock on February 25, 2025 ($170.99) (the date of certification of the achievement of the performance metric) by the number of shares awarded. The restricted stock vests in equal installments over two years (subject to continued employment). </w:t>
            </w:r>
          </w:p>
        </w:tc>
      </w:tr>
    </w:tbl>
    <w:p>
      <w:pPr>
        <w:pStyle w:val="TextBody"/>
        <w:bidi w:val="0"/>
        <w:spacing w:before="360" w:after="0"/>
        <w:jc w:val="left"/>
        <w:rPr>
          <w:rFonts w:ascii="arial" w:hAnsi="arial"/>
          <w:b/>
          <w:color w:val="1F295C"/>
          <w:sz w:val="24"/>
        </w:rPr>
      </w:pPr>
      <w:bookmarkStart w:id="11" w:name="toc849638_11"/>
      <w:bookmarkEnd w:id="11"/>
      <w:r>
        <w:rPr>
          <w:rFonts w:ascii="arial" w:hAnsi="arial"/>
          <w:b/>
          <w:color w:val="1F295C"/>
          <w:sz w:val="24"/>
        </w:rPr>
        <w:t xml:space="preserve">Key Compensation Practices for Executives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59"/>
        <w:gridCol w:w="120"/>
        <w:gridCol w:w="5726"/>
      </w:tblGrid>
      <w:tr>
        <w:trPr/>
        <w:tc>
          <w:tcPr>
            <w:tcW w:w="4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26" w:type="dxa"/>
            <w:tcBorders/>
            <w:vAlign w:val="center"/>
          </w:tcPr>
          <w:p>
            <w:pPr>
              <w:pStyle w:val="TableContents"/>
              <w:bidi w:val="0"/>
              <w:spacing w:before="0" w:after="283"/>
              <w:jc w:val="left"/>
              <w:rPr>
                <w:sz w:val="4"/>
                <w:szCs w:val="4"/>
              </w:rPr>
            </w:pPr>
            <w:r>
              <w:rPr>
                <w:sz w:val="4"/>
                <w:szCs w:val="4"/>
              </w:rPr>
            </w:r>
          </w:p>
        </w:tc>
      </w:tr>
      <w:tr>
        <w:trPr/>
        <w:tc>
          <w:tcPr>
            <w:tcW w:w="4359" w:type="dxa"/>
            <w:tcBorders>
              <w:bottom w:val="single" w:sz="2" w:space="0" w:color="1070B8"/>
            </w:tcBorders>
            <w:tcMar>
              <w:bottom w:w="28" w:type="dxa"/>
            </w:tcMar>
            <w:vAlign w:val="center"/>
          </w:tcPr>
          <w:p>
            <w:pPr>
              <w:pStyle w:val="TableContents"/>
              <w:bidi w:val="0"/>
              <w:spacing w:before="0" w:after="0"/>
              <w:jc w:val="center"/>
              <w:rPr>
                <w:rFonts w:ascii="arial" w:hAnsi="arial"/>
                <w:b/>
                <w:sz w:val="20"/>
              </w:rPr>
            </w:pPr>
            <w:r>
              <w:rPr>
                <w:rFonts w:ascii="arial" w:hAnsi="arial"/>
                <w:b/>
                <w:sz w:val="20"/>
              </w:rPr>
              <w:t>What We Do</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5726" w:type="dxa"/>
            <w:tcBorders>
              <w:bottom w:val="single" w:sz="2" w:space="0" w:color="1070B8"/>
            </w:tcBorders>
            <w:tcMar>
              <w:bottom w:w="28" w:type="dxa"/>
            </w:tcMar>
            <w:vAlign w:val="center"/>
          </w:tcPr>
          <w:p>
            <w:pPr>
              <w:pStyle w:val="TableContents"/>
              <w:bidi w:val="0"/>
              <w:spacing w:before="0" w:after="0"/>
              <w:jc w:val="center"/>
              <w:rPr>
                <w:rFonts w:ascii="arial" w:hAnsi="arial"/>
                <w:b/>
                <w:sz w:val="20"/>
              </w:rPr>
            </w:pPr>
            <w:r>
              <w:rPr>
                <w:rFonts w:ascii="arial" w:hAnsi="arial"/>
                <w:b/>
                <w:sz w:val="20"/>
              </w:rPr>
              <w:t>What We Don’t Do</w:t>
            </w:r>
          </w:p>
          <w:p>
            <w:pPr>
              <w:pStyle w:val="TableContents"/>
              <w:bidi w:val="0"/>
              <w:spacing w:before="0" w:after="20"/>
              <w:jc w:val="left"/>
              <w:rPr/>
            </w:pPr>
            <w:r>
              <w:rPr/>
              <w:t> </w:t>
            </w:r>
          </w:p>
        </w:tc>
      </w:tr>
      <w:tr>
        <w:trPr/>
        <w:tc>
          <w:tcPr>
            <w:tcW w:w="4359" w:type="dxa"/>
            <w:tcBorders/>
            <w:vAlign w:val="center"/>
          </w:tcPr>
          <w:p>
            <w:pPr>
              <w:pStyle w:val="TableContents"/>
              <w:bidi w:val="0"/>
              <w:spacing w:before="0" w:after="0"/>
              <w:jc w:val="left"/>
              <w:rPr/>
            </w:pPr>
            <w:r>
              <w:rPr/>
              <w:t> </w:t>
            </w:r>
          </w:p>
          <w:p>
            <w:pPr>
              <w:pStyle w:val="TableContents"/>
              <w:bidi w:val="0"/>
              <w:spacing w:before="0" w:after="0"/>
              <w:jc w:val="left"/>
              <w:rPr/>
            </w:pPr>
            <w:r>
              <w:rPr>
                <w:color w:val="1070B8"/>
              </w:rPr>
              <w:drawing>
                <wp:inline distT="0" distB="0" distL="0" distR="0">
                  <wp:extent cx="77470" cy="7366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77470" cy="73660"/>
                          </a:xfrm>
                          <a:prstGeom prst="rect">
                            <a:avLst/>
                          </a:prstGeom>
                        </pic:spPr>
                      </pic:pic>
                    </a:graphicData>
                  </a:graphic>
                </wp:inline>
              </w:drawing>
            </w:r>
            <w:r>
              <w:rPr>
                <w:color w:val="1070B8"/>
              </w:rPr>
              <w:t xml:space="preserve">   </w:t>
            </w:r>
            <w:r>
              <w:rPr>
                <w:rFonts w:ascii="arial" w:hAnsi="arial"/>
                <w:b/>
                <w:sz w:val="20"/>
              </w:rPr>
              <w:t>Pay for Performance</w:t>
            </w:r>
            <w:r>
              <w:rPr>
                <w:rFonts w:ascii="arial" w:hAnsi="arial"/>
                <w:sz w:val="20"/>
              </w:rPr>
              <w:t xml:space="preserve"> where a substantial percentage of compensation is based on achievement of objective pre-established performance metrics</w:t>
            </w:r>
          </w:p>
          <w:p>
            <w:pPr>
              <w:pStyle w:val="TableContents"/>
              <w:bidi w:val="0"/>
              <w:spacing w:before="0" w:after="0"/>
              <w:jc w:val="left"/>
              <w:rPr/>
            </w:pPr>
            <w:r>
              <w:rPr/>
              <w:t> </w:t>
            </w:r>
          </w:p>
          <w:p>
            <w:pPr>
              <w:pStyle w:val="TableContents"/>
              <w:bidi w:val="0"/>
              <w:spacing w:before="0" w:after="0"/>
              <w:jc w:val="left"/>
              <w:rPr/>
            </w:pPr>
            <w:r>
              <w:rPr>
                <w:color w:val="1070B8"/>
              </w:rPr>
              <w:drawing>
                <wp:inline distT="0" distB="0" distL="0" distR="0">
                  <wp:extent cx="77470" cy="7366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77470" cy="73660"/>
                          </a:xfrm>
                          <a:prstGeom prst="rect">
                            <a:avLst/>
                          </a:prstGeom>
                        </pic:spPr>
                      </pic:pic>
                    </a:graphicData>
                  </a:graphic>
                </wp:inline>
              </w:drawing>
            </w:r>
            <w:r>
              <w:rPr>
                <w:color w:val="1070B8"/>
              </w:rPr>
              <w:t xml:space="preserve"> </w:t>
            </w:r>
            <w:r>
              <w:rPr/>
              <w:t>  </w:t>
            </w:r>
            <w:r>
              <w:rPr>
                <w:rFonts w:ascii="arial" w:hAnsi="arial"/>
                <w:b/>
                <w:sz w:val="20"/>
              </w:rPr>
              <w:t>Balanced Compensation Mix</w:t>
            </w:r>
            <w:r>
              <w:rPr>
                <w:rFonts w:ascii="arial" w:hAnsi="arial"/>
                <w:sz w:val="20"/>
              </w:rPr>
              <w:t xml:space="preserve"> of salary and performance-based cash bonuses and restricted stock awards</w:t>
            </w:r>
          </w:p>
          <w:p>
            <w:pPr>
              <w:pStyle w:val="TableContents"/>
              <w:bidi w:val="0"/>
              <w:spacing w:before="0" w:after="0"/>
              <w:jc w:val="left"/>
              <w:rPr/>
            </w:pPr>
            <w:r>
              <w:rPr/>
              <w:t> </w:t>
            </w:r>
          </w:p>
          <w:p>
            <w:pPr>
              <w:pStyle w:val="TableContents"/>
              <w:bidi w:val="0"/>
              <w:spacing w:before="0" w:after="0"/>
              <w:jc w:val="left"/>
              <w:rPr/>
            </w:pPr>
            <w:r>
              <w:rPr>
                <w:color w:val="1070B8"/>
              </w:rPr>
              <w:drawing>
                <wp:inline distT="0" distB="0" distL="0" distR="0">
                  <wp:extent cx="77470" cy="73660"/>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77470" cy="73660"/>
                          </a:xfrm>
                          <a:prstGeom prst="rect">
                            <a:avLst/>
                          </a:prstGeom>
                        </pic:spPr>
                      </pic:pic>
                    </a:graphicData>
                  </a:graphic>
                </wp:inline>
              </w:drawing>
            </w:r>
            <w:r>
              <w:rPr>
                <w:color w:val="1070B8"/>
              </w:rPr>
              <w:t xml:space="preserve"> </w:t>
            </w:r>
            <w:r>
              <w:rPr/>
              <w:t>  </w:t>
            </w:r>
            <w:r>
              <w:rPr>
                <w:rFonts w:ascii="arial" w:hAnsi="arial"/>
                <w:b/>
                <w:sz w:val="20"/>
              </w:rPr>
              <w:t>Multi-year Vesting of Equity Awards</w:t>
            </w:r>
            <w:r>
              <w:rPr>
                <w:rFonts w:ascii="arial" w:hAnsi="arial"/>
                <w:sz w:val="20"/>
              </w:rPr>
              <w:t xml:space="preserve"> over a two-year period after the performance target is met</w:t>
            </w:r>
          </w:p>
          <w:p>
            <w:pPr>
              <w:pStyle w:val="TableContents"/>
              <w:bidi w:val="0"/>
              <w:spacing w:before="0" w:after="0"/>
              <w:jc w:val="left"/>
              <w:rPr/>
            </w:pPr>
            <w:r>
              <w:rPr/>
              <w:t> </w:t>
            </w:r>
          </w:p>
          <w:p>
            <w:pPr>
              <w:pStyle w:val="TableContents"/>
              <w:bidi w:val="0"/>
              <w:spacing w:before="0" w:after="0"/>
              <w:jc w:val="left"/>
              <w:rPr/>
            </w:pPr>
            <w:r>
              <w:rPr>
                <w:color w:val="1070B8"/>
              </w:rPr>
              <w:drawing>
                <wp:inline distT="0" distB="0" distL="0" distR="0">
                  <wp:extent cx="77470" cy="7366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77470" cy="73660"/>
                          </a:xfrm>
                          <a:prstGeom prst="rect">
                            <a:avLst/>
                          </a:prstGeom>
                        </pic:spPr>
                      </pic:pic>
                    </a:graphicData>
                  </a:graphic>
                </wp:inline>
              </w:drawing>
            </w:r>
            <w:r>
              <w:rPr>
                <w:color w:val="1070B8"/>
              </w:rPr>
              <w:t xml:space="preserve"> </w:t>
            </w:r>
            <w:r>
              <w:rPr/>
              <w:t>  </w:t>
            </w:r>
            <w:r>
              <w:rPr>
                <w:rFonts w:ascii="arial" w:hAnsi="arial"/>
                <w:b/>
                <w:sz w:val="20"/>
              </w:rPr>
              <w:t>Limited Perquisites</w:t>
            </w:r>
            <w:r>
              <w:rPr>
                <w:rFonts w:ascii="arial" w:hAnsi="arial"/>
                <w:sz w:val="20"/>
              </w:rPr>
              <w:t xml:space="preserve"> that are not available to other salaried employees</w:t>
            </w:r>
            <w:r>
              <w:rPr>
                <w:rFonts w:ascii="arial" w:hAnsi="arial"/>
                <w:color w:val="1070B8"/>
                <w:sz w:val="20"/>
              </w:rPr>
              <w:t xml:space="preserve"> </w:t>
            </w:r>
          </w:p>
          <w:p>
            <w:pPr>
              <w:pStyle w:val="TableContents"/>
              <w:bidi w:val="0"/>
              <w:spacing w:before="0" w:after="0"/>
              <w:jc w:val="left"/>
              <w:rPr/>
            </w:pPr>
            <w:r>
              <w:rPr/>
              <w:t> </w:t>
            </w:r>
          </w:p>
          <w:p>
            <w:pPr>
              <w:pStyle w:val="TableContents"/>
              <w:bidi w:val="0"/>
              <w:spacing w:before="0" w:after="0"/>
              <w:jc w:val="left"/>
              <w:rPr/>
            </w:pPr>
            <w:r>
              <w:rPr>
                <w:color w:val="1070B8"/>
              </w:rPr>
              <w:drawing>
                <wp:inline distT="0" distB="0" distL="0" distR="0">
                  <wp:extent cx="77470" cy="7366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77470" cy="73660"/>
                          </a:xfrm>
                          <a:prstGeom prst="rect">
                            <a:avLst/>
                          </a:prstGeom>
                        </pic:spPr>
                      </pic:pic>
                    </a:graphicData>
                  </a:graphic>
                </wp:inline>
              </w:drawing>
            </w:r>
            <w:r>
              <w:rPr>
                <w:color w:val="1070B8"/>
              </w:rPr>
              <w:t xml:space="preserve"> </w:t>
            </w:r>
            <w:r>
              <w:rPr/>
              <w:t>  </w:t>
            </w:r>
            <w:r>
              <w:rPr>
                <w:rFonts w:ascii="arial" w:hAnsi="arial"/>
                <w:b/>
                <w:sz w:val="20"/>
              </w:rPr>
              <w:t>Competitive Pay</w:t>
            </w:r>
            <w:r>
              <w:rPr>
                <w:rFonts w:ascii="arial" w:hAnsi="arial"/>
                <w:sz w:val="20"/>
              </w:rPr>
              <w:t xml:space="preserve"> targeted near the median of our peer group</w:t>
            </w:r>
            <w:r>
              <w:rPr>
                <w:rFonts w:ascii="arial" w:hAnsi="arial"/>
                <w:color w:val="1070B8"/>
                <w:sz w:val="20"/>
              </w:rPr>
              <w:t xml:space="preserve"> </w:t>
            </w:r>
          </w:p>
          <w:p>
            <w:pPr>
              <w:pStyle w:val="TableContents"/>
              <w:bidi w:val="0"/>
              <w:spacing w:before="0" w:after="0"/>
              <w:jc w:val="left"/>
              <w:rPr/>
            </w:pPr>
            <w:r>
              <w:rPr/>
              <w:t> </w:t>
            </w:r>
          </w:p>
          <w:p>
            <w:pPr>
              <w:pStyle w:val="TableContents"/>
              <w:bidi w:val="0"/>
              <w:spacing w:before="0" w:after="0"/>
              <w:jc w:val="left"/>
              <w:rPr/>
            </w:pPr>
            <w:r>
              <w:rPr>
                <w:color w:val="1070B8"/>
              </w:rPr>
              <w:drawing>
                <wp:inline distT="0" distB="0" distL="0" distR="0">
                  <wp:extent cx="77470" cy="7366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77470" cy="73660"/>
                          </a:xfrm>
                          <a:prstGeom prst="rect">
                            <a:avLst/>
                          </a:prstGeom>
                        </pic:spPr>
                      </pic:pic>
                    </a:graphicData>
                  </a:graphic>
                </wp:inline>
              </w:drawing>
            </w:r>
            <w:r>
              <w:rPr>
                <w:color w:val="1070B8"/>
              </w:rPr>
              <w:t xml:space="preserve"> </w:t>
            </w:r>
            <w:r>
              <w:rPr/>
              <w:t>  </w:t>
            </w:r>
            <w:r>
              <w:rPr>
                <w:rFonts w:ascii="arial" w:hAnsi="arial"/>
                <w:b/>
                <w:sz w:val="20"/>
              </w:rPr>
              <w:t>Clawback Policies</w:t>
            </w:r>
            <w:r>
              <w:rPr>
                <w:rFonts w:ascii="arial" w:hAnsi="arial"/>
                <w:sz w:val="20"/>
              </w:rPr>
              <w:t xml:space="preserve"> for recovery of incentive compensation under specified circumstances</w:t>
            </w:r>
            <w:r>
              <w:rPr>
                <w:rFonts w:ascii="arial" w:hAnsi="arial"/>
                <w:color w:val="1070B8"/>
                <w:sz w:val="20"/>
              </w:rPr>
              <w:t xml:space="preserve"> </w:t>
            </w:r>
          </w:p>
          <w:p>
            <w:pPr>
              <w:pStyle w:val="TableContents"/>
              <w:bidi w:val="0"/>
              <w:spacing w:before="0" w:after="0"/>
              <w:jc w:val="left"/>
              <w:rPr/>
            </w:pPr>
            <w:r>
              <w:rPr/>
              <w:t> </w:t>
            </w:r>
          </w:p>
          <w:p>
            <w:pPr>
              <w:pStyle w:val="TableContents"/>
              <w:bidi w:val="0"/>
              <w:spacing w:before="0" w:after="0"/>
              <w:jc w:val="left"/>
              <w:rPr/>
            </w:pPr>
            <w:r>
              <w:rPr>
                <w:color w:val="1070B8"/>
              </w:rPr>
              <w:drawing>
                <wp:inline distT="0" distB="0" distL="0" distR="0">
                  <wp:extent cx="77470" cy="7366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77470" cy="73660"/>
                          </a:xfrm>
                          <a:prstGeom prst="rect">
                            <a:avLst/>
                          </a:prstGeom>
                        </pic:spPr>
                      </pic:pic>
                    </a:graphicData>
                  </a:graphic>
                </wp:inline>
              </w:drawing>
            </w:r>
            <w:r>
              <w:rPr>
                <w:color w:val="1070B8"/>
              </w:rPr>
              <w:t xml:space="preserve"> </w:t>
            </w:r>
            <w:r>
              <w:rPr/>
              <w:t>  </w:t>
            </w:r>
            <w:r>
              <w:rPr>
                <w:rFonts w:ascii="arial" w:hAnsi="arial"/>
                <w:b/>
                <w:sz w:val="20"/>
              </w:rPr>
              <w:t>Meaningful Stock Ownership Requirements</w:t>
            </w:r>
            <w:r>
              <w:rPr>
                <w:rFonts w:ascii="arial" w:hAnsi="arial"/>
                <w:sz w:val="20"/>
              </w:rPr>
              <w:t xml:space="preserve"> in multiples of base salary</w:t>
            </w:r>
            <w:r>
              <w:rPr>
                <w:rFonts w:ascii="arial" w:hAnsi="arial"/>
                <w:color w:val="1070B8"/>
                <w:sz w:val="20"/>
              </w:rPr>
              <w:t xml:space="preserve"> </w:t>
            </w:r>
          </w:p>
          <w:p>
            <w:pPr>
              <w:pStyle w:val="TableContents"/>
              <w:bidi w:val="0"/>
              <w:spacing w:before="0" w:after="0"/>
              <w:jc w:val="left"/>
              <w:rPr/>
            </w:pPr>
            <w:r>
              <w:rPr/>
              <w:t> </w:t>
            </w:r>
          </w:p>
          <w:p>
            <w:pPr>
              <w:pStyle w:val="TableContents"/>
              <w:bidi w:val="0"/>
              <w:spacing w:before="0" w:after="20"/>
              <w:jc w:val="left"/>
              <w:rPr/>
            </w:pPr>
            <w:r>
              <w:rPr>
                <w:color w:val="1070B8"/>
              </w:rPr>
              <w:drawing>
                <wp:inline distT="0" distB="0" distL="0" distR="0">
                  <wp:extent cx="77470" cy="7366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77470" cy="73660"/>
                          </a:xfrm>
                          <a:prstGeom prst="rect">
                            <a:avLst/>
                          </a:prstGeom>
                        </pic:spPr>
                      </pic:pic>
                    </a:graphicData>
                  </a:graphic>
                </wp:inline>
              </w:drawing>
            </w:r>
            <w:r>
              <w:rPr>
                <w:color w:val="1070B8"/>
              </w:rPr>
              <w:t xml:space="preserve"> </w:t>
            </w:r>
            <w:r>
              <w:rPr/>
              <w:t>  </w:t>
            </w:r>
            <w:r>
              <w:rPr>
                <w:rFonts w:ascii="arial" w:hAnsi="arial"/>
                <w:b/>
                <w:sz w:val="20"/>
              </w:rPr>
              <w:t>Annual Say-on-Pay Vote</w:t>
            </w:r>
            <w:r>
              <w:rPr>
                <w:rFonts w:ascii="arial" w:hAnsi="arial"/>
                <w:sz w:val="20"/>
              </w:rPr>
              <w:t xml:space="preserve"> on executive compensation</w:t>
            </w:r>
          </w:p>
        </w:tc>
        <w:tc>
          <w:tcPr>
            <w:tcW w:w="120" w:type="dxa"/>
            <w:tcBorders/>
            <w:vAlign w:val="center"/>
          </w:tcPr>
          <w:p>
            <w:pPr>
              <w:pStyle w:val="TableContents"/>
              <w:bidi w:val="0"/>
              <w:spacing w:before="0" w:after="283"/>
              <w:jc w:val="left"/>
              <w:rPr/>
            </w:pPr>
            <w:r>
              <w:rPr/>
              <w:t>  </w:t>
            </w:r>
          </w:p>
        </w:tc>
        <w:tc>
          <w:tcPr>
            <w:tcW w:w="5726"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72390" cy="10033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72390" cy="100330"/>
                          </a:xfrm>
                          <a:prstGeom prst="rect">
                            <a:avLst/>
                          </a:prstGeom>
                        </pic:spPr>
                      </pic:pic>
                    </a:graphicData>
                  </a:graphic>
                </wp:inline>
              </w:drawing>
            </w:r>
            <w:r>
              <w:rPr/>
              <w:t xml:space="preserve">   </w:t>
            </w:r>
            <w:r>
              <w:rPr>
                <w:rFonts w:ascii="arial" w:hAnsi="arial"/>
                <w:b/>
                <w:sz w:val="20"/>
              </w:rPr>
              <w:t xml:space="preserve">No Tax Gross-Ups </w:t>
            </w:r>
            <w:r>
              <w:rPr>
                <w:rFonts w:ascii="arial" w:hAnsi="arial"/>
                <w:sz w:val="20"/>
              </w:rPr>
              <w:t>for perquisites or excise taxes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72390" cy="10033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72390" cy="100330"/>
                          </a:xfrm>
                          <a:prstGeom prst="rect">
                            <a:avLst/>
                          </a:prstGeom>
                        </pic:spPr>
                      </pic:pic>
                    </a:graphicData>
                  </a:graphic>
                </wp:inline>
              </w:drawing>
            </w:r>
            <w:r>
              <w:rPr/>
              <w:t xml:space="preserve">   </w:t>
            </w:r>
            <w:r>
              <w:rPr>
                <w:rFonts w:ascii="arial" w:hAnsi="arial"/>
                <w:b/>
                <w:sz w:val="20"/>
              </w:rPr>
              <w:t>No Pension Plans</w:t>
            </w:r>
            <w:r>
              <w:rPr>
                <w:rFonts w:ascii="arial" w:hAnsi="arial"/>
                <w:sz w:val="20"/>
              </w:rPr>
              <w:t xml:space="preserve"> or retirement benefits that are not available to other salaried employees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72390" cy="10033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72390" cy="100330"/>
                          </a:xfrm>
                          <a:prstGeom prst="rect">
                            <a:avLst/>
                          </a:prstGeom>
                        </pic:spPr>
                      </pic:pic>
                    </a:graphicData>
                  </a:graphic>
                </wp:inline>
              </w:drawing>
            </w:r>
            <w:r>
              <w:rPr/>
              <w:t xml:space="preserve">   </w:t>
            </w:r>
            <w:r>
              <w:rPr>
                <w:rFonts w:ascii="arial" w:hAnsi="arial"/>
                <w:b/>
                <w:sz w:val="20"/>
              </w:rPr>
              <w:t xml:space="preserve">No Hedging </w:t>
            </w:r>
            <w:r>
              <w:rPr>
                <w:rFonts w:ascii="arial" w:hAnsi="arial"/>
                <w:sz w:val="20"/>
              </w:rPr>
              <w:t>or other monetization transactions involving Company securities (the Board has made an exception for our CEO, see Footnote 2 in the “</w:t>
            </w:r>
            <w:r>
              <w:rPr>
                <w:rFonts w:ascii="arial" w:hAnsi="arial"/>
                <w:i/>
                <w:sz w:val="20"/>
              </w:rPr>
              <w:t>Stock</w:t>
            </w:r>
            <w:r>
              <w:rPr>
                <w:rFonts w:ascii="arial" w:hAnsi="arial"/>
                <w:sz w:val="20"/>
              </w:rPr>
              <w:t xml:space="preserve"> </w:t>
            </w:r>
            <w:r>
              <w:rPr>
                <w:rFonts w:ascii="arial" w:hAnsi="arial"/>
                <w:i/>
                <w:sz w:val="20"/>
              </w:rPr>
              <w:t xml:space="preserve">Ownership Table” </w:t>
            </w:r>
            <w:r>
              <w:rPr>
                <w:rFonts w:ascii="arial" w:hAnsi="arial"/>
                <w:sz w:val="20"/>
              </w:rPr>
              <w:t>beginning on page 79)</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72390" cy="100330"/>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72390" cy="100330"/>
                          </a:xfrm>
                          <a:prstGeom prst="rect">
                            <a:avLst/>
                          </a:prstGeom>
                        </pic:spPr>
                      </pic:pic>
                    </a:graphicData>
                  </a:graphic>
                </wp:inline>
              </w:drawing>
            </w:r>
            <w:r>
              <w:rPr/>
              <w:t xml:space="preserve">   </w:t>
            </w:r>
            <w:r>
              <w:rPr>
                <w:rFonts w:ascii="arial" w:hAnsi="arial"/>
                <w:b/>
                <w:sz w:val="20"/>
              </w:rPr>
              <w:t>No Short Sales</w:t>
            </w:r>
            <w:r>
              <w:rPr>
                <w:rFonts w:ascii="arial" w:hAnsi="arial"/>
                <w:sz w:val="20"/>
              </w:rPr>
              <w:t xml:space="preserve"> or other speculative transactions involving Company securities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72390" cy="100330"/>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72390" cy="100330"/>
                          </a:xfrm>
                          <a:prstGeom prst="rect">
                            <a:avLst/>
                          </a:prstGeom>
                        </pic:spPr>
                      </pic:pic>
                    </a:graphicData>
                  </a:graphic>
                </wp:inline>
              </w:drawing>
            </w:r>
            <w:r>
              <w:rPr/>
              <w:t xml:space="preserve">   </w:t>
            </w:r>
            <w:r>
              <w:rPr>
                <w:rFonts w:ascii="arial" w:hAnsi="arial"/>
                <w:b/>
                <w:sz w:val="20"/>
              </w:rPr>
              <w:t>No Option Repricing</w:t>
            </w:r>
            <w:r>
              <w:rPr>
                <w:rFonts w:ascii="arial" w:hAnsi="arial"/>
                <w:sz w:val="20"/>
              </w:rPr>
              <w:t xml:space="preserve"> of underwater stock options without stockholder approval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72390" cy="100330"/>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72390" cy="100330"/>
                          </a:xfrm>
                          <a:prstGeom prst="rect">
                            <a:avLst/>
                          </a:prstGeom>
                        </pic:spPr>
                      </pic:pic>
                    </a:graphicData>
                  </a:graphic>
                </wp:inline>
              </w:drawing>
            </w:r>
            <w:r>
              <w:rPr/>
              <w:t xml:space="preserve">   </w:t>
            </w:r>
            <w:r>
              <w:rPr>
                <w:rFonts w:ascii="arial" w:hAnsi="arial"/>
                <w:b/>
                <w:sz w:val="20"/>
              </w:rPr>
              <w:t xml:space="preserve">No Single Trigger </w:t>
            </w:r>
            <w:r>
              <w:rPr>
                <w:rFonts w:ascii="arial" w:hAnsi="arial"/>
                <w:sz w:val="20"/>
              </w:rPr>
              <w:t>accelerated vesting of incentive awards upon a change in control without a qualifying loss of employment</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72390" cy="100330"/>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72390" cy="100330"/>
                          </a:xfrm>
                          <a:prstGeom prst="rect">
                            <a:avLst/>
                          </a:prstGeom>
                        </pic:spPr>
                      </pic:pic>
                    </a:graphicData>
                  </a:graphic>
                </wp:inline>
              </w:drawing>
            </w:r>
            <w:r>
              <w:rPr/>
              <w:t xml:space="preserve">   </w:t>
            </w:r>
            <w:r>
              <w:rPr>
                <w:rFonts w:ascii="arial" w:hAnsi="arial"/>
                <w:b/>
                <w:sz w:val="20"/>
              </w:rPr>
              <w:t>No Pledging</w:t>
            </w:r>
            <w:r>
              <w:rPr>
                <w:rFonts w:ascii="arial" w:hAnsi="arial"/>
                <w:sz w:val="20"/>
              </w:rPr>
              <w:t xml:space="preserve"> of Company securities as collateral or holding Company securities as collateral in a margin account (the Board has made an exception for our CEO, see Footnote 2 in the “</w:t>
            </w:r>
            <w:r>
              <w:rPr>
                <w:rFonts w:ascii="arial" w:hAnsi="arial"/>
                <w:i/>
                <w:sz w:val="20"/>
              </w:rPr>
              <w:t>Stock Ownership Table”</w:t>
            </w:r>
            <w:r>
              <w:rPr>
                <w:rFonts w:ascii="arial" w:hAnsi="arial"/>
                <w:sz w:val="20"/>
              </w:rPr>
              <w:t xml:space="preserve"> beginning on page 79)</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72390" cy="100330"/>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72390" cy="100330"/>
                          </a:xfrm>
                          <a:prstGeom prst="rect">
                            <a:avLst/>
                          </a:prstGeom>
                        </pic:spPr>
                      </pic:pic>
                    </a:graphicData>
                  </a:graphic>
                </wp:inline>
              </w:drawing>
            </w:r>
            <w:r>
              <w:rPr/>
              <w:t xml:space="preserve">   </w:t>
            </w:r>
            <w:r>
              <w:rPr>
                <w:rFonts w:ascii="arial" w:hAnsi="arial"/>
                <w:b/>
                <w:sz w:val="20"/>
              </w:rPr>
              <w:t xml:space="preserve">No Employment Agreements </w:t>
            </w:r>
            <w:r>
              <w:rPr>
                <w:rFonts w:ascii="arial" w:hAnsi="arial"/>
                <w:sz w:val="20"/>
              </w:rPr>
              <w:t>for our executives other than our Chief Executive Officer</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Proxy Summary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bookmarkStart w:id="12" w:name="toc849638_12"/>
      <w:bookmarkEnd w:id="12"/>
      <w:r>
        <w:rPr>
          <w:rFonts w:ascii="Times New Roman" w:hAnsi="Times New Roman"/>
          <w:b/>
          <w:color w:val="1070B8"/>
          <w:sz w:val="44"/>
        </w:rPr>
        <w:t xml:space="preserve">PROPOSAL 1 – ELECTION OF DIRECTORS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sz w:val="20"/>
        </w:rPr>
        <w:t xml:space="preserve">Upon the recommendation of the Nominating and Corporate Governance Committee (“NCG Committee”), the Board has nominated and is submitting to a vote of our stockholders a proposal to elect Jeffrey W. Edwards, Lawrence A. Hilsheimer and Janet E. Jackson as Class III directors to serve for three-year terms. Each nominee’s term runs until the 2028 Annual Meeting of Stockholders. </w:t>
      </w:r>
    </w:p>
    <w:p>
      <w:pPr>
        <w:pStyle w:val="TextBody"/>
        <w:bidi w:val="0"/>
        <w:spacing w:before="240" w:after="0"/>
        <w:jc w:val="left"/>
        <w:rPr>
          <w:rFonts w:ascii="arial" w:hAnsi="arial"/>
          <w:sz w:val="20"/>
        </w:rPr>
      </w:pPr>
      <w:r>
        <w:rPr>
          <w:rFonts w:ascii="arial" w:hAnsi="arial"/>
          <w:sz w:val="20"/>
        </w:rPr>
        <w:t>The NCG Committee and the Board evaluated the background, experience, qualifications, attributes and skills of each nominee, as well as the years of experience they have had working together on the Board and the knowledge of the Company’s business, operations, strategy and risks they have developed as a result of such service. The NCG Committee and the Board also considered Board refreshment and each nominee’s contributions to the Board and role in the operation of the Board as a whole. See “</w:t>
      </w:r>
      <w:r>
        <w:rPr>
          <w:rFonts w:ascii="arial" w:hAnsi="arial"/>
          <w:i/>
          <w:sz w:val="20"/>
        </w:rPr>
        <w:t>Director Qualifications,” “Board Composition</w:t>
      </w:r>
      <w:r>
        <w:rPr>
          <w:rFonts w:ascii="arial" w:hAnsi="arial"/>
          <w:sz w:val="20"/>
        </w:rPr>
        <w:t>” and “</w:t>
      </w:r>
      <w:r>
        <w:rPr>
          <w:rFonts w:ascii="arial" w:hAnsi="arial"/>
          <w:i/>
          <w:sz w:val="20"/>
        </w:rPr>
        <w:t>Director Skills, Experience and Background</w:t>
      </w:r>
      <w:r>
        <w:rPr>
          <w:rFonts w:ascii="arial" w:hAnsi="arial"/>
          <w:sz w:val="20"/>
        </w:rPr>
        <w:t xml:space="preserve">” below. </w:t>
      </w:r>
    </w:p>
    <w:p>
      <w:pPr>
        <w:pStyle w:val="TextBody"/>
        <w:bidi w:val="0"/>
        <w:spacing w:before="240" w:after="0"/>
        <w:jc w:val="left"/>
        <w:rPr>
          <w:rFonts w:ascii="arial" w:hAnsi="arial"/>
          <w:sz w:val="20"/>
        </w:rPr>
      </w:pPr>
      <w:r>
        <w:rPr>
          <w:rFonts w:ascii="arial" w:hAnsi="arial"/>
          <w:sz w:val="20"/>
        </w:rPr>
        <w:t xml:space="preserve">Director nominees are expected to demonstrate leadership and to possess the highest professional and personal integrity, values and judgment. The NCG Committee and the Board have determined that each of our nominees possesses the skills, experience and perspectives, collectively with other directors, to comprise a well-rounded, highly effective Board of Directors, and have determined that the nominees add to the overall strength of the Board by bringing insights and practical wisdom based on their experience and expertise. </w:t>
      </w:r>
    </w:p>
    <w:p>
      <w:pPr>
        <w:pStyle w:val="TextBody"/>
        <w:bidi w:val="0"/>
        <w:spacing w:before="240" w:after="0"/>
        <w:jc w:val="left"/>
        <w:rPr>
          <w:rFonts w:ascii="arial" w:hAnsi="arial"/>
          <w:sz w:val="20"/>
        </w:rPr>
      </w:pPr>
      <w:r>
        <w:rPr>
          <w:rFonts w:ascii="arial" w:hAnsi="arial"/>
          <w:sz w:val="20"/>
        </w:rPr>
        <w:t xml:space="preserve">All of the director nominees currently serve on the Board. Each nominee has accepted the nomination and has agreed to serve if elected. If a nominee is unable to serve as a director, the Board may reduce the number of directors constituting the full Board or may choose a substitute nominee. </w:t>
      </w:r>
    </w:p>
    <w:p>
      <w:pPr>
        <w:pStyle w:val="TextBody"/>
        <w:bidi w:val="0"/>
        <w:spacing w:before="280" w:after="0"/>
        <w:jc w:val="left"/>
        <w:rPr>
          <w:rFonts w:ascii="arial" w:hAnsi="arial"/>
          <w:b/>
          <w:color w:val="1F295C"/>
          <w:sz w:val="24"/>
        </w:rPr>
      </w:pPr>
      <w:bookmarkStart w:id="13" w:name="toc849638_13"/>
      <w:bookmarkEnd w:id="13"/>
      <w:r>
        <w:rPr>
          <w:rFonts w:ascii="arial" w:hAnsi="arial"/>
          <w:b/>
          <w:color w:val="1F295C"/>
          <w:sz w:val="24"/>
        </w:rPr>
        <w:t xml:space="preserve">Overview of the Board </w:t>
      </w:r>
    </w:p>
    <w:p>
      <w:pPr>
        <w:pStyle w:val="TextBody"/>
        <w:bidi w:val="0"/>
        <w:spacing w:before="280" w:after="0"/>
        <w:jc w:val="left"/>
        <w:rPr>
          <w:rFonts w:ascii="arial" w:hAnsi="arial"/>
          <w:sz w:val="20"/>
        </w:rPr>
      </w:pPr>
      <w:r>
        <w:rPr>
          <w:rFonts w:ascii="arial" w:hAnsi="arial"/>
          <w:sz w:val="20"/>
        </w:rPr>
        <w:t xml:space="preserve">Our directors are divided into three classes, as nearly equal in number as possible and designated Class I, Class II and Class III, with one class of directors elected annually for a three-year term and the other classes of directors continuing to serve for the remainder of their respective terms. Each director holds office until his or her successor is duly elected and qualified or until his or her earlier death, resignation, retirement, disqualification or removal.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0880" cy="812800"/>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5770880" cy="81280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The number of directors constituting the Board is fixed from time to time by a majority vote of the directors then in office. Our Board of Directors has currently fixed the number of directors at nine. No decrease in the authorized number of directors will result in the removal of an incumbent director until that director’s term expires. Vacancies may be filled by the Board. The NCG Committee and the Board periodically evaluate Board structure. </w:t>
      </w:r>
    </w:p>
    <w:p>
      <w:pPr>
        <w:pStyle w:val="TextBody"/>
        <w:bidi w:val="0"/>
        <w:spacing w:before="280" w:after="0"/>
        <w:jc w:val="left"/>
        <w:rPr>
          <w:rFonts w:ascii="arial" w:hAnsi="arial"/>
          <w:b/>
          <w:color w:val="1F295C"/>
          <w:sz w:val="24"/>
        </w:rPr>
      </w:pPr>
      <w:bookmarkStart w:id="14" w:name="toc849638_14"/>
      <w:bookmarkEnd w:id="14"/>
      <w:r>
        <w:rPr>
          <w:rFonts w:ascii="arial" w:hAnsi="arial"/>
          <w:b/>
          <w:color w:val="1F295C"/>
          <w:sz w:val="24"/>
        </w:rPr>
        <w:t xml:space="preserve">Director Qualifications </w:t>
      </w:r>
    </w:p>
    <w:p>
      <w:pPr>
        <w:pStyle w:val="TextBody"/>
        <w:bidi w:val="0"/>
        <w:spacing w:before="280" w:after="0"/>
        <w:jc w:val="left"/>
        <w:rPr>
          <w:rFonts w:ascii="arial" w:hAnsi="arial"/>
          <w:sz w:val="20"/>
        </w:rPr>
      </w:pPr>
      <w:r>
        <w:rPr>
          <w:rFonts w:ascii="arial" w:hAnsi="arial"/>
          <w:sz w:val="20"/>
        </w:rPr>
        <w:t xml:space="preserve">Our NCG Committee is responsible for annually reviewing the qualifications for Board membership and identifying and assessing the appropriate skills of our directors and director candidates with a view toward ensuring that the Board is comprised of individuals whose backgrounds, skills, experience and expertise, when taken together, provide the Board with the ability to provide effective oversight of the Company and its operations, strategy and risk management.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1 – Election of Directors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evaluating the suitability of director candidates, the NCG Committee considers evolving needs within the Board and evaluates the entirety of each director candidate’s credentials. The NCG Committee considers numerous factors, including those set forth in the matrix below, in seeking to maintain a balance of experience and expertise. The NCG Committee reviews the matrix annually to determine if it is appropriate to add additional skill sets to the Board to meet evolving needs or if it is more appropriate to maintain those skills at the management level. The matrix assists the NCG Committee in determining whether a director candidate or a Board member possesses skills that may be valuable in light of current and anticipated strategic plans, operational requirements and risk challenges and in the long term interest of our stockholders. Each of our director nominees and continuing directors possess valuable skills and experience that are not reflected in the matrix. </w:t>
      </w:r>
    </w:p>
    <w:p>
      <w:pPr>
        <w:pStyle w:val="TextBody"/>
        <w:bidi w:val="0"/>
        <w:spacing w:before="240" w:after="0"/>
        <w:jc w:val="left"/>
        <w:rPr>
          <w:rFonts w:ascii="arial" w:hAnsi="arial"/>
          <w:b/>
          <w:color w:val="1F295C"/>
          <w:sz w:val="24"/>
        </w:rPr>
      </w:pPr>
      <w:r>
        <w:rPr>
          <w:rFonts w:ascii="arial" w:hAnsi="arial"/>
          <w:b/>
          <w:color w:val="1F295C"/>
          <w:sz w:val="24"/>
        </w:rPr>
        <w:t xml:space="preserve">Board Skill Matrix </w:t>
      </w:r>
    </w:p>
    <w:p>
      <w:pPr>
        <w:pStyle w:val="TextBody"/>
        <w:bidi w:val="0"/>
        <w:spacing w:before="0" w:after="0"/>
        <w:jc w:val="left"/>
        <w:rPr/>
      </w:pPr>
      <w:r>
        <w:rPr/>
        <w:t> </w:t>
      </w:r>
    </w:p>
    <w:tbl>
      <w:tblPr>
        <w:tblW w:w="8993" w:type="dxa"/>
        <w:jc w:val="left"/>
        <w:tblInd w:w="0" w:type="dxa"/>
        <w:tblLayout w:type="fixed"/>
        <w:tblCellMar>
          <w:top w:w="0" w:type="dxa"/>
          <w:left w:w="0" w:type="dxa"/>
          <w:bottom w:w="0" w:type="dxa"/>
          <w:right w:w="0" w:type="dxa"/>
        </w:tblCellMar>
      </w:tblPr>
      <w:tblGrid>
        <w:gridCol w:w="375"/>
        <w:gridCol w:w="60"/>
        <w:gridCol w:w="5645"/>
        <w:gridCol w:w="60"/>
        <w:gridCol w:w="262"/>
        <w:gridCol w:w="60"/>
        <w:gridCol w:w="262"/>
        <w:gridCol w:w="60"/>
        <w:gridCol w:w="262"/>
        <w:gridCol w:w="60"/>
        <w:gridCol w:w="262"/>
        <w:gridCol w:w="60"/>
        <w:gridCol w:w="262"/>
        <w:gridCol w:w="60"/>
        <w:gridCol w:w="262"/>
        <w:gridCol w:w="60"/>
        <w:gridCol w:w="262"/>
        <w:gridCol w:w="60"/>
        <w:gridCol w:w="262"/>
        <w:gridCol w:w="60"/>
        <w:gridCol w:w="27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75" w:type="dxa"/>
            <w:tcBorders>
              <w:top w:val="single" w:sz="8" w:space="0" w:color="1070B8"/>
            </w:tcBorders>
            <w:shd w:fill="1F295C" w:val="clear"/>
            <w:tcMar>
              <w:top w:w="28" w:type="dxa"/>
            </w:tcMar>
            <w:vAlign w:val="center"/>
          </w:tcPr>
          <w:p>
            <w:pPr>
              <w:pStyle w:val="TableContents"/>
              <w:bidi w:val="0"/>
              <w:spacing w:before="0" w:after="283"/>
              <w:jc w:val="left"/>
              <w:rPr/>
            </w:pPr>
            <w:r>
              <w:rPr/>
              <w:t> </w:t>
            </w:r>
          </w:p>
        </w:tc>
        <w:tc>
          <w:tcPr>
            <w:tcW w:w="5705" w:type="dxa"/>
            <w:gridSpan w:val="2"/>
            <w:tcBorders>
              <w:top w:val="single" w:sz="8" w:space="0" w:color="1070B8"/>
            </w:tcBorders>
            <w:shd w:fill="D5DBE3" w:val="clear"/>
            <w:tcMar>
              <w:top w:w="28" w:type="dxa"/>
            </w:tcMar>
            <w:vAlign w:val="center"/>
          </w:tcPr>
          <w:p>
            <w:pPr>
              <w:pStyle w:val="TableContents"/>
              <w:bidi w:val="0"/>
              <w:spacing w:before="0" w:after="283"/>
              <w:jc w:val="left"/>
              <w:rPr/>
            </w:pPr>
            <w:r>
              <w:rPr/>
              <w:t> </w:t>
            </w:r>
          </w:p>
        </w:tc>
        <w:tc>
          <w:tcPr>
            <w:tcW w:w="322" w:type="dxa"/>
            <w:gridSpan w:val="2"/>
            <w:tcBorders>
              <w:top w:val="single" w:sz="8" w:space="0" w:color="1070B8"/>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322" w:type="dxa"/>
            <w:gridSpan w:val="2"/>
            <w:tcBorders>
              <w:top w:val="single" w:sz="8" w:space="0" w:color="1070B8"/>
            </w:tcBorders>
            <w:tcMar>
              <w:top w:w="28" w:type="dxa"/>
            </w:tcMar>
            <w:vAlign w:val="center"/>
          </w:tcPr>
          <w:p>
            <w:pPr>
              <w:pStyle w:val="TableContents"/>
              <w:bidi w:val="0"/>
              <w:spacing w:before="0" w:after="283"/>
              <w:jc w:val="left"/>
              <w:rPr/>
            </w:pPr>
            <w:r>
              <w:rPr/>
              <w:t> </w:t>
            </w:r>
          </w:p>
        </w:tc>
        <w:tc>
          <w:tcPr>
            <w:tcW w:w="322" w:type="dxa"/>
            <w:gridSpan w:val="2"/>
            <w:tcBorders>
              <w:top w:val="single" w:sz="8" w:space="0" w:color="1070B8"/>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322" w:type="dxa"/>
            <w:gridSpan w:val="2"/>
            <w:tcBorders>
              <w:top w:val="single" w:sz="8" w:space="0" w:color="1070B8"/>
            </w:tcBorders>
            <w:tcMar>
              <w:top w:w="28" w:type="dxa"/>
            </w:tcMar>
            <w:vAlign w:val="center"/>
          </w:tcPr>
          <w:p>
            <w:pPr>
              <w:pStyle w:val="TableContents"/>
              <w:bidi w:val="0"/>
              <w:spacing w:before="0" w:after="283"/>
              <w:jc w:val="left"/>
              <w:rPr/>
            </w:pPr>
            <w:r>
              <w:rPr/>
              <w:t> </w:t>
            </w:r>
          </w:p>
        </w:tc>
        <w:tc>
          <w:tcPr>
            <w:tcW w:w="322" w:type="dxa"/>
            <w:gridSpan w:val="2"/>
            <w:tcBorders>
              <w:top w:val="single" w:sz="8" w:space="0" w:color="1070B8"/>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322" w:type="dxa"/>
            <w:gridSpan w:val="2"/>
            <w:tcBorders>
              <w:top w:val="single" w:sz="8" w:space="0" w:color="1070B8"/>
            </w:tcBorders>
            <w:tcMar>
              <w:top w:w="28" w:type="dxa"/>
            </w:tcMar>
            <w:vAlign w:val="center"/>
          </w:tcPr>
          <w:p>
            <w:pPr>
              <w:pStyle w:val="TableContents"/>
              <w:bidi w:val="0"/>
              <w:spacing w:before="0" w:after="283"/>
              <w:jc w:val="left"/>
              <w:rPr/>
            </w:pPr>
            <w:r>
              <w:rPr/>
              <w:t> </w:t>
            </w:r>
          </w:p>
        </w:tc>
        <w:tc>
          <w:tcPr>
            <w:tcW w:w="322" w:type="dxa"/>
            <w:gridSpan w:val="2"/>
            <w:tcBorders>
              <w:top w:val="single" w:sz="8" w:space="0" w:color="1070B8"/>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322" w:type="dxa"/>
            <w:gridSpan w:val="2"/>
            <w:tcBorders>
              <w:top w:val="single" w:sz="8" w:space="0" w:color="1070B8"/>
            </w:tcBorders>
            <w:tcMar>
              <w:top w:w="28" w:type="dxa"/>
            </w:tcMar>
            <w:vAlign w:val="center"/>
          </w:tcPr>
          <w:p>
            <w:pPr>
              <w:pStyle w:val="TableContents"/>
              <w:bidi w:val="0"/>
              <w:spacing w:before="0" w:after="283"/>
              <w:jc w:val="left"/>
              <w:rPr/>
            </w:pPr>
            <w:r>
              <w:rPr/>
              <w:t> </w:t>
            </w:r>
          </w:p>
        </w:tc>
        <w:tc>
          <w:tcPr>
            <w:tcW w:w="337" w:type="dxa"/>
            <w:gridSpan w:val="2"/>
            <w:tcBorders>
              <w:top w:val="single" w:sz="8" w:space="0" w:color="1070B8"/>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bookmarkStart w:id="15" w:name="toc849638_15"/>
            <w:bookmarkEnd w:id="15"/>
          </w:p>
        </w:tc>
      </w:tr>
      <w:tr>
        <w:trPr/>
        <w:tc>
          <w:tcPr>
            <w:tcW w:w="375" w:type="dxa"/>
            <w:vMerge w:val="restart"/>
            <w:tcBorders>
              <w:bottom w:val="single" w:sz="8" w:space="0" w:color="1070B8"/>
            </w:tcBorders>
            <w:shd w:fill="1F295C" w:val="clear"/>
            <w:tcMar>
              <w:bottom w:w="120" w:type="dxa"/>
            </w:tcMar>
            <w:vAlign w:val="center"/>
          </w:tcPr>
          <w:p>
            <w:pPr>
              <w:pStyle w:val="TableContents"/>
              <w:bidi w:val="0"/>
              <w:spacing w:before="0" w:after="283"/>
              <w:jc w:val="center"/>
              <w:rPr/>
            </w:pPr>
            <w:r>
              <w:rPr/>
              <w:drawing>
                <wp:inline distT="0" distB="0" distL="0" distR="0">
                  <wp:extent cx="190500" cy="1209675"/>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190500" cy="1209675"/>
                          </a:xfrm>
                          <a:prstGeom prst="rect">
                            <a:avLst/>
                          </a:prstGeom>
                        </pic:spPr>
                      </pic:pic>
                    </a:graphicData>
                  </a:graphic>
                </wp:inline>
              </w:drawing>
            </w:r>
            <w:r>
              <w:rPr/>
              <w:t xml:space="preserve"> </w:t>
            </w:r>
          </w:p>
        </w:tc>
        <w:tc>
          <w:tcPr>
            <w:tcW w:w="60" w:type="dxa"/>
            <w:tcBorders/>
            <w:shd w:fill="D5DBE3" w:val="clear"/>
            <w:vAlign w:val="center"/>
          </w:tcPr>
          <w:p>
            <w:pPr>
              <w:pStyle w:val="TableContents"/>
              <w:bidi w:val="0"/>
              <w:spacing w:before="0" w:after="283"/>
              <w:jc w:val="left"/>
              <w:rPr/>
            </w:pPr>
            <w:r>
              <w:rPr/>
              <w:t> </w:t>
            </w:r>
          </w:p>
        </w:tc>
        <w:tc>
          <w:tcPr>
            <w:tcW w:w="5645" w:type="dxa"/>
            <w:tcBorders/>
            <w:shd w:fill="D5DBE3"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62" w:type="dxa"/>
            <w:tcBorders>
              <w:right w:val="single" w:sz="6" w:space="0" w:color="000000"/>
            </w:tcBorders>
            <w:tcMar>
              <w:right w:w="28" w:type="dxa"/>
            </w:tcMar>
            <w:vAlign w:val="center"/>
          </w:tcPr>
          <w:p>
            <w:pPr>
              <w:pStyle w:val="TableContents"/>
              <w:bidi w:val="0"/>
              <w:spacing w:before="0" w:after="283"/>
              <w:jc w:val="center"/>
              <w:rPr/>
            </w:pPr>
            <w:r>
              <w:rPr/>
              <w:drawing>
                <wp:inline distT="0" distB="0" distL="0" distR="0">
                  <wp:extent cx="128270" cy="788035"/>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128270" cy="78803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center"/>
              <w:rPr/>
            </w:pPr>
            <w:r>
              <w:rPr/>
              <w:drawing>
                <wp:inline distT="0" distB="0" distL="0" distR="0">
                  <wp:extent cx="128270" cy="928370"/>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128270" cy="928370"/>
                          </a:xfrm>
                          <a:prstGeom prst="rect">
                            <a:avLst/>
                          </a:prstGeom>
                        </pic:spPr>
                      </pic:pic>
                    </a:graphicData>
                  </a:graphic>
                </wp:inline>
              </w:drawing>
            </w:r>
            <w:r>
              <w:rPr/>
              <w:t xml:space="preserve">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62" w:type="dxa"/>
            <w:tcBorders>
              <w:right w:val="single" w:sz="6" w:space="0" w:color="000000"/>
            </w:tcBorders>
            <w:tcMar>
              <w:right w:w="28" w:type="dxa"/>
            </w:tcMar>
            <w:vAlign w:val="center"/>
          </w:tcPr>
          <w:p>
            <w:pPr>
              <w:pStyle w:val="TableContents"/>
              <w:bidi w:val="0"/>
              <w:spacing w:before="0" w:after="283"/>
              <w:jc w:val="center"/>
              <w:rPr/>
            </w:pPr>
            <w:r>
              <w:rPr/>
              <w:drawing>
                <wp:inline distT="0" distB="0" distL="0" distR="0">
                  <wp:extent cx="128270" cy="1141095"/>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128270" cy="11410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center"/>
              <w:rPr/>
            </w:pPr>
            <w:r>
              <w:rPr/>
              <w:drawing>
                <wp:inline distT="0" distB="0" distL="0" distR="0">
                  <wp:extent cx="128270" cy="821055"/>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128270" cy="821055"/>
                          </a:xfrm>
                          <a:prstGeom prst="rect">
                            <a:avLst/>
                          </a:prstGeom>
                        </pic:spPr>
                      </pic:pic>
                    </a:graphicData>
                  </a:graphic>
                </wp:inline>
              </w:drawing>
            </w:r>
            <w:r>
              <w:rPr/>
              <w:t xml:space="preserve">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62" w:type="dxa"/>
            <w:tcBorders>
              <w:right w:val="single" w:sz="6" w:space="0" w:color="000000"/>
            </w:tcBorders>
            <w:tcMar>
              <w:right w:w="28" w:type="dxa"/>
            </w:tcMar>
            <w:vAlign w:val="center"/>
          </w:tcPr>
          <w:p>
            <w:pPr>
              <w:pStyle w:val="TableContents"/>
              <w:bidi w:val="0"/>
              <w:spacing w:before="0" w:after="283"/>
              <w:jc w:val="center"/>
              <w:rPr/>
            </w:pPr>
            <w:r>
              <w:rPr/>
              <w:drawing>
                <wp:inline distT="0" distB="0" distL="0" distR="0">
                  <wp:extent cx="128270" cy="741680"/>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128270" cy="7416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center"/>
              <w:rPr/>
            </w:pPr>
            <w:r>
              <w:rPr/>
              <w:drawing>
                <wp:inline distT="0" distB="0" distL="0" distR="0">
                  <wp:extent cx="128270" cy="793750"/>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43"/>
                          <a:stretch>
                            <a:fillRect/>
                          </a:stretch>
                        </pic:blipFill>
                        <pic:spPr bwMode="auto">
                          <a:xfrm>
                            <a:off x="0" y="0"/>
                            <a:ext cx="128270" cy="793750"/>
                          </a:xfrm>
                          <a:prstGeom prst="rect">
                            <a:avLst/>
                          </a:prstGeom>
                        </pic:spPr>
                      </pic:pic>
                    </a:graphicData>
                  </a:graphic>
                </wp:inline>
              </w:drawing>
            </w:r>
            <w:r>
              <w:rPr/>
              <w:t xml:space="preserve">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62" w:type="dxa"/>
            <w:tcBorders>
              <w:right w:val="single" w:sz="6" w:space="0" w:color="000000"/>
            </w:tcBorders>
            <w:tcMar>
              <w:right w:w="28" w:type="dxa"/>
            </w:tcMar>
            <w:vAlign w:val="center"/>
          </w:tcPr>
          <w:p>
            <w:pPr>
              <w:pStyle w:val="TableContents"/>
              <w:bidi w:val="0"/>
              <w:spacing w:before="0" w:after="283"/>
              <w:jc w:val="center"/>
              <w:rPr/>
            </w:pPr>
            <w:r>
              <w:rPr/>
              <w:drawing>
                <wp:inline distT="0" distB="0" distL="0" distR="0">
                  <wp:extent cx="128270" cy="928370"/>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4"/>
                          <a:stretch>
                            <a:fillRect/>
                          </a:stretch>
                        </pic:blipFill>
                        <pic:spPr bwMode="auto">
                          <a:xfrm>
                            <a:off x="0" y="0"/>
                            <a:ext cx="128270" cy="9283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center"/>
              <w:rPr/>
            </w:pPr>
            <w:r>
              <w:rPr/>
              <w:drawing>
                <wp:inline distT="0" distB="0" distL="0" distR="0">
                  <wp:extent cx="128270" cy="1165860"/>
                  <wp:effectExtent l="0" t="0" r="0" b="0"/>
                  <wp:docPr id="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4" descr=""/>
                          <pic:cNvPicPr>
                            <a:picLocks noChangeAspect="1" noChangeArrowheads="1"/>
                          </pic:cNvPicPr>
                        </pic:nvPicPr>
                        <pic:blipFill>
                          <a:blip r:embed="rId45"/>
                          <a:stretch>
                            <a:fillRect/>
                          </a:stretch>
                        </pic:blipFill>
                        <pic:spPr bwMode="auto">
                          <a:xfrm>
                            <a:off x="0" y="0"/>
                            <a:ext cx="128270" cy="1165860"/>
                          </a:xfrm>
                          <a:prstGeom prst="rect">
                            <a:avLst/>
                          </a:prstGeom>
                        </pic:spPr>
                      </pic:pic>
                    </a:graphicData>
                  </a:graphic>
                </wp:inline>
              </w:drawing>
            </w:r>
            <w:r>
              <w:rPr/>
              <w:t xml:space="preserve">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77" w:type="dxa"/>
            <w:tcBorders>
              <w:right w:val="single" w:sz="6" w:space="0" w:color="000000"/>
            </w:tcBorders>
            <w:tcMar>
              <w:right w:w="40" w:type="dxa"/>
            </w:tcMar>
            <w:vAlign w:val="center"/>
          </w:tcPr>
          <w:p>
            <w:pPr>
              <w:pStyle w:val="TableContents"/>
              <w:bidi w:val="0"/>
              <w:spacing w:before="0" w:after="283"/>
              <w:jc w:val="center"/>
              <w:rPr/>
            </w:pPr>
            <w:r>
              <w:rPr/>
              <w:drawing>
                <wp:inline distT="0" distB="0" distL="0" distR="0">
                  <wp:extent cx="128270" cy="925830"/>
                  <wp:effectExtent l="0" t="0" r="0" b="0"/>
                  <wp:docPr id="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5" descr=""/>
                          <pic:cNvPicPr>
                            <a:picLocks noChangeAspect="1" noChangeArrowheads="1"/>
                          </pic:cNvPicPr>
                        </pic:nvPicPr>
                        <pic:blipFill>
                          <a:blip r:embed="rId46"/>
                          <a:stretch>
                            <a:fillRect/>
                          </a:stretch>
                        </pic:blipFill>
                        <pic:spPr bwMode="auto">
                          <a:xfrm>
                            <a:off x="0" y="0"/>
                            <a:ext cx="128270" cy="925830"/>
                          </a:xfrm>
                          <a:prstGeom prst="rect">
                            <a:avLst/>
                          </a:prstGeom>
                        </pic:spPr>
                      </pic:pic>
                    </a:graphicData>
                  </a:graphic>
                </wp:inline>
              </w:drawing>
            </w:r>
            <w:r>
              <w:rPr/>
              <w:t xml:space="preserve"> </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shd w:fill="1F295C" w:val="clear"/>
            <w:vAlign w:val="center"/>
          </w:tcPr>
          <w:p>
            <w:pPr>
              <w:pStyle w:val="TableContents"/>
              <w:bidi w:val="0"/>
              <w:spacing w:before="0" w:after="283"/>
              <w:jc w:val="left"/>
              <w:rPr/>
            </w:pPr>
            <w:r>
              <w:rPr/>
              <w:t> </w:t>
            </w:r>
          </w:p>
        </w:tc>
        <w:tc>
          <w:tcPr>
            <w:tcW w:w="5645" w:type="dxa"/>
            <w:tcBorders/>
            <w:shd w:fill="1F295C"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FFFFFF"/>
                <w:sz w:val="18"/>
              </w:rPr>
            </w:pPr>
            <w:r>
              <w:rPr>
                <w:rFonts w:ascii="arial" w:hAnsi="arial"/>
                <w:b/>
                <w:color w:val="FFFFFF"/>
                <w:sz w:val="18"/>
              </w:rPr>
              <w:t>Industry Knowledge</w:t>
            </w:r>
          </w:p>
        </w:tc>
        <w:tc>
          <w:tcPr>
            <w:tcW w:w="60" w:type="dxa"/>
            <w:tcBorders>
              <w:left w:val="single" w:sz="6" w:space="0" w:color="000000"/>
            </w:tcBorders>
            <w:shd w:fill="1F295C" w:val="clear"/>
            <w:tcMar>
              <w:left w:w="28" w:type="dxa"/>
            </w:tcMar>
            <w:vAlign w:val="center"/>
          </w:tcPr>
          <w:p>
            <w:pPr>
              <w:pStyle w:val="TableContents"/>
              <w:bidi w:val="0"/>
              <w:spacing w:before="0" w:after="283"/>
              <w:jc w:val="left"/>
              <w:rPr/>
            </w:pPr>
            <w:r>
              <w:rPr/>
              <w:t> </w:t>
            </w:r>
          </w:p>
        </w:tc>
        <w:tc>
          <w:tcPr>
            <w:tcW w:w="262" w:type="dxa"/>
            <w:tcBorders>
              <w:right w:val="single" w:sz="6" w:space="0" w:color="000000"/>
            </w:tcBorders>
            <w:shd w:fill="1F295C" w:val="clear"/>
            <w:tcMar>
              <w:right w:w="28" w:type="dxa"/>
            </w:tcMar>
            <w:vAlign w:val="center"/>
          </w:tcPr>
          <w:p>
            <w:pPr>
              <w:pStyle w:val="TableContents"/>
              <w:bidi w:val="0"/>
              <w:spacing w:before="0" w:after="283"/>
              <w:jc w:val="left"/>
              <w:rPr/>
            </w:pPr>
            <w:r>
              <w:rPr/>
              <w:t> </w:t>
            </w:r>
          </w:p>
        </w:tc>
        <w:tc>
          <w:tcPr>
            <w:tcW w:w="60" w:type="dxa"/>
            <w:tcBorders/>
            <w:shd w:fill="1F295C" w:val="clear"/>
            <w:vAlign w:val="center"/>
          </w:tcPr>
          <w:p>
            <w:pPr>
              <w:pStyle w:val="TableContents"/>
              <w:bidi w:val="0"/>
              <w:spacing w:before="0" w:after="283"/>
              <w:jc w:val="left"/>
              <w:rPr/>
            </w:pPr>
            <w:r>
              <w:rPr/>
              <w:t> </w:t>
            </w:r>
          </w:p>
        </w:tc>
        <w:tc>
          <w:tcPr>
            <w:tcW w:w="262" w:type="dxa"/>
            <w:tcBorders/>
            <w:shd w:fill="1F295C"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1F295C" w:val="clear"/>
            <w:tcMar>
              <w:left w:w="28" w:type="dxa"/>
            </w:tcMar>
            <w:vAlign w:val="center"/>
          </w:tcPr>
          <w:p>
            <w:pPr>
              <w:pStyle w:val="TableContents"/>
              <w:bidi w:val="0"/>
              <w:spacing w:before="0" w:after="283"/>
              <w:jc w:val="left"/>
              <w:rPr/>
            </w:pPr>
            <w:r>
              <w:rPr/>
              <w:t> </w:t>
            </w:r>
          </w:p>
        </w:tc>
        <w:tc>
          <w:tcPr>
            <w:tcW w:w="262" w:type="dxa"/>
            <w:tcBorders>
              <w:right w:val="single" w:sz="6" w:space="0" w:color="000000"/>
            </w:tcBorders>
            <w:shd w:fill="1F295C" w:val="clear"/>
            <w:tcMar>
              <w:right w:w="28" w:type="dxa"/>
            </w:tcMar>
            <w:vAlign w:val="center"/>
          </w:tcPr>
          <w:p>
            <w:pPr>
              <w:pStyle w:val="TableContents"/>
              <w:bidi w:val="0"/>
              <w:spacing w:before="0" w:after="283"/>
              <w:jc w:val="left"/>
              <w:rPr/>
            </w:pPr>
            <w:r>
              <w:rPr/>
              <w:t> </w:t>
            </w:r>
          </w:p>
        </w:tc>
        <w:tc>
          <w:tcPr>
            <w:tcW w:w="60" w:type="dxa"/>
            <w:tcBorders/>
            <w:shd w:fill="1F295C" w:val="clear"/>
            <w:vAlign w:val="center"/>
          </w:tcPr>
          <w:p>
            <w:pPr>
              <w:pStyle w:val="TableContents"/>
              <w:bidi w:val="0"/>
              <w:spacing w:before="0" w:after="283"/>
              <w:jc w:val="left"/>
              <w:rPr/>
            </w:pPr>
            <w:r>
              <w:rPr/>
              <w:t> </w:t>
            </w:r>
          </w:p>
        </w:tc>
        <w:tc>
          <w:tcPr>
            <w:tcW w:w="262" w:type="dxa"/>
            <w:tcBorders/>
            <w:shd w:fill="1F295C"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1F295C" w:val="clear"/>
            <w:tcMar>
              <w:left w:w="28" w:type="dxa"/>
            </w:tcMar>
            <w:vAlign w:val="center"/>
          </w:tcPr>
          <w:p>
            <w:pPr>
              <w:pStyle w:val="TableContents"/>
              <w:bidi w:val="0"/>
              <w:spacing w:before="0" w:after="283"/>
              <w:jc w:val="left"/>
              <w:rPr/>
            </w:pPr>
            <w:r>
              <w:rPr/>
              <w:t> </w:t>
            </w:r>
          </w:p>
        </w:tc>
        <w:tc>
          <w:tcPr>
            <w:tcW w:w="262" w:type="dxa"/>
            <w:tcBorders>
              <w:right w:val="single" w:sz="6" w:space="0" w:color="000000"/>
            </w:tcBorders>
            <w:shd w:fill="1F295C" w:val="clear"/>
            <w:tcMar>
              <w:right w:w="28" w:type="dxa"/>
            </w:tcMar>
            <w:vAlign w:val="center"/>
          </w:tcPr>
          <w:p>
            <w:pPr>
              <w:pStyle w:val="TableContents"/>
              <w:bidi w:val="0"/>
              <w:spacing w:before="0" w:after="283"/>
              <w:jc w:val="left"/>
              <w:rPr/>
            </w:pPr>
            <w:r>
              <w:rPr/>
              <w:t> </w:t>
            </w:r>
          </w:p>
        </w:tc>
        <w:tc>
          <w:tcPr>
            <w:tcW w:w="60" w:type="dxa"/>
            <w:tcBorders/>
            <w:shd w:fill="1F295C" w:val="clear"/>
            <w:vAlign w:val="center"/>
          </w:tcPr>
          <w:p>
            <w:pPr>
              <w:pStyle w:val="TableContents"/>
              <w:bidi w:val="0"/>
              <w:spacing w:before="0" w:after="283"/>
              <w:jc w:val="left"/>
              <w:rPr/>
            </w:pPr>
            <w:r>
              <w:rPr/>
              <w:t> </w:t>
            </w:r>
          </w:p>
        </w:tc>
        <w:tc>
          <w:tcPr>
            <w:tcW w:w="262" w:type="dxa"/>
            <w:tcBorders/>
            <w:shd w:fill="1F295C"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1F295C" w:val="clear"/>
            <w:tcMar>
              <w:left w:w="28" w:type="dxa"/>
            </w:tcMar>
            <w:vAlign w:val="center"/>
          </w:tcPr>
          <w:p>
            <w:pPr>
              <w:pStyle w:val="TableContents"/>
              <w:bidi w:val="0"/>
              <w:spacing w:before="0" w:after="283"/>
              <w:jc w:val="left"/>
              <w:rPr/>
            </w:pPr>
            <w:r>
              <w:rPr/>
              <w:t> </w:t>
            </w:r>
          </w:p>
        </w:tc>
        <w:tc>
          <w:tcPr>
            <w:tcW w:w="262" w:type="dxa"/>
            <w:tcBorders>
              <w:right w:val="single" w:sz="6" w:space="0" w:color="000000"/>
            </w:tcBorders>
            <w:shd w:fill="1F295C" w:val="clear"/>
            <w:tcMar>
              <w:right w:w="28" w:type="dxa"/>
            </w:tcMar>
            <w:vAlign w:val="center"/>
          </w:tcPr>
          <w:p>
            <w:pPr>
              <w:pStyle w:val="TableContents"/>
              <w:bidi w:val="0"/>
              <w:spacing w:before="0" w:after="283"/>
              <w:jc w:val="left"/>
              <w:rPr/>
            </w:pPr>
            <w:r>
              <w:rPr/>
              <w:t> </w:t>
            </w:r>
          </w:p>
        </w:tc>
        <w:tc>
          <w:tcPr>
            <w:tcW w:w="60" w:type="dxa"/>
            <w:tcBorders/>
            <w:shd w:fill="1F295C" w:val="clear"/>
            <w:vAlign w:val="center"/>
          </w:tcPr>
          <w:p>
            <w:pPr>
              <w:pStyle w:val="TableContents"/>
              <w:bidi w:val="0"/>
              <w:spacing w:before="0" w:after="283"/>
              <w:jc w:val="left"/>
              <w:rPr/>
            </w:pPr>
            <w:r>
              <w:rPr/>
              <w:t> </w:t>
            </w:r>
          </w:p>
        </w:tc>
        <w:tc>
          <w:tcPr>
            <w:tcW w:w="262" w:type="dxa"/>
            <w:tcBorders/>
            <w:shd w:fill="1F295C"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1F295C" w:val="clear"/>
            <w:tcMar>
              <w:left w:w="28" w:type="dxa"/>
            </w:tcMar>
            <w:vAlign w:val="center"/>
          </w:tcPr>
          <w:p>
            <w:pPr>
              <w:pStyle w:val="TableContents"/>
              <w:bidi w:val="0"/>
              <w:spacing w:before="0" w:after="283"/>
              <w:jc w:val="left"/>
              <w:rPr/>
            </w:pPr>
            <w:r>
              <w:rPr/>
              <w:t> </w:t>
            </w:r>
          </w:p>
        </w:tc>
        <w:tc>
          <w:tcPr>
            <w:tcW w:w="277" w:type="dxa"/>
            <w:tcBorders>
              <w:right w:val="single" w:sz="6" w:space="0" w:color="000000"/>
            </w:tcBorders>
            <w:shd w:fill="1F295C" w:val="clear"/>
            <w:tcMar>
              <w:right w:w="40" w:type="dxa"/>
            </w:tcMar>
            <w:vAlign w:val="center"/>
          </w:tcPr>
          <w:p>
            <w:pPr>
              <w:pStyle w:val="TableContents"/>
              <w:bidi w:val="0"/>
              <w:spacing w:before="0" w:after="283"/>
              <w:jc w:val="left"/>
              <w:rPr/>
            </w:pPr>
            <w:r>
              <w:rPr/>
              <w:t> </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5645" w:type="dxa"/>
            <w:tcBorders>
              <w:bottom w:val="single" w:sz="6" w:space="0" w:color="000000"/>
            </w:tcBorders>
            <w:shd w:fill="D5DBE3" w:val="clear"/>
            <w:tcMar>
              <w:bottom w:w="40" w:type="dxa"/>
            </w:tcMar>
            <w:vAlign w:val="center"/>
          </w:tcPr>
          <w:p>
            <w:pPr>
              <w:pStyle w:val="TableContents"/>
              <w:bidi w:val="0"/>
              <w:spacing w:before="0" w:after="283"/>
              <w:jc w:val="left"/>
              <w:rPr/>
            </w:pPr>
            <w:r>
              <w:rPr/>
              <w:t> </w:t>
            </w:r>
            <w:r>
              <w:rPr/>
              <w:t>Housing</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40"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40"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40"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7" w:type="dxa"/>
            <w:tcBorders>
              <w:bottom w:val="single" w:sz="6" w:space="0" w:color="000000"/>
              <w:right w:val="single" w:sz="6" w:space="0" w:color="000000"/>
            </w:tcBorders>
            <w:tcMar>
              <w:bottom w:w="40" w:type="dxa"/>
              <w:right w:w="40" w:type="dxa"/>
            </w:tcMar>
            <w:vAlign w:val="center"/>
          </w:tcPr>
          <w:p>
            <w:pPr>
              <w:pStyle w:val="TableContents"/>
              <w:bidi w:val="0"/>
              <w:spacing w:before="0" w:after="283"/>
              <w:jc w:val="center"/>
              <w:rPr>
                <w:color w:val="1F295C"/>
              </w:rPr>
            </w:pPr>
            <w:r>
              <w:rPr>
                <w:color w:val="1F295C"/>
              </w:rPr>
              <w:t>●</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5645" w:type="dxa"/>
            <w:tcBorders>
              <w:bottom w:val="single" w:sz="6" w:space="0" w:color="000000"/>
            </w:tcBorders>
            <w:shd w:fill="D5DBE3" w:val="clear"/>
            <w:tcMar>
              <w:bottom w:w="40" w:type="dxa"/>
            </w:tcMar>
            <w:vAlign w:val="center"/>
          </w:tcPr>
          <w:p>
            <w:pPr>
              <w:pStyle w:val="TableContents"/>
              <w:bidi w:val="0"/>
              <w:spacing w:before="0" w:after="283"/>
              <w:jc w:val="left"/>
              <w:rPr/>
            </w:pPr>
            <w:r>
              <w:rPr/>
              <w:t> </w:t>
            </w:r>
            <w:r>
              <w:rPr/>
              <w:t>Construction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40"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40"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40"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7" w:type="dxa"/>
            <w:tcBorders>
              <w:bottom w:val="single" w:sz="6" w:space="0" w:color="000000"/>
              <w:right w:val="single" w:sz="6" w:space="0" w:color="000000"/>
            </w:tcBorders>
            <w:tcMar>
              <w:bottom w:w="40" w:type="dxa"/>
              <w:right w:w="40" w:type="dxa"/>
            </w:tcMar>
            <w:vAlign w:val="center"/>
          </w:tcPr>
          <w:p>
            <w:pPr>
              <w:pStyle w:val="TableContents"/>
              <w:bidi w:val="0"/>
              <w:spacing w:before="0" w:after="283"/>
              <w:jc w:val="center"/>
              <w:rPr>
                <w:color w:val="1F295C"/>
              </w:rPr>
            </w:pPr>
            <w:r>
              <w:rPr>
                <w:color w:val="1F295C"/>
              </w:rPr>
              <w:t>●</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shd w:fill="D5DBE3" w:val="clear"/>
            <w:vAlign w:val="center"/>
          </w:tcPr>
          <w:p>
            <w:pPr>
              <w:pStyle w:val="TableContents"/>
              <w:bidi w:val="0"/>
              <w:spacing w:before="0" w:after="283"/>
              <w:jc w:val="left"/>
              <w:rPr/>
            </w:pPr>
            <w:r>
              <w:rPr/>
              <w:t> </w:t>
            </w:r>
          </w:p>
        </w:tc>
        <w:tc>
          <w:tcPr>
            <w:tcW w:w="5645" w:type="dxa"/>
            <w:tcBorders/>
            <w:shd w:fill="D5DBE3" w:val="clear"/>
            <w:vAlign w:val="center"/>
          </w:tcPr>
          <w:p>
            <w:pPr>
              <w:pStyle w:val="TableContents"/>
              <w:bidi w:val="0"/>
              <w:spacing w:before="0" w:after="283"/>
              <w:jc w:val="left"/>
              <w:rPr/>
            </w:pPr>
            <w:r>
              <w:rPr/>
              <w:t> </w:t>
            </w:r>
            <w:r>
              <w:rPr/>
              <w:t>Building Materials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62" w:type="dxa"/>
            <w:tcBorders>
              <w:right w:val="single" w:sz="6" w:space="0" w:color="000000"/>
            </w:tcBorders>
            <w:tcMar>
              <w:right w:w="28" w:type="dxa"/>
            </w:tcMar>
            <w:vAlign w:val="center"/>
          </w:tcPr>
          <w:p>
            <w:pPr>
              <w:pStyle w:val="TableContents"/>
              <w:bidi w:val="0"/>
              <w:spacing w:before="0" w:after="283"/>
              <w:jc w:val="center"/>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center"/>
              <w:rPr>
                <w:color w:val="1F295C"/>
              </w:rPr>
            </w:pPr>
            <w:r>
              <w:rPr>
                <w:color w:val="1F295C"/>
              </w:rPr>
              <w: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62" w:type="dxa"/>
            <w:tcBorders>
              <w:right w:val="single" w:sz="6" w:space="0" w:color="000000"/>
            </w:tcBorders>
            <w:tcMar>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62" w:type="dxa"/>
            <w:tcBorders>
              <w:right w:val="single" w:sz="6" w:space="0" w:color="000000"/>
            </w:tcBorders>
            <w:tcMar>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center"/>
              <w:rPr>
                <w:color w:val="1F295C"/>
              </w:rPr>
            </w:pPr>
            <w:r>
              <w:rPr>
                <w:color w:val="1F295C"/>
              </w:rPr>
              <w: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62" w:type="dxa"/>
            <w:tcBorders>
              <w:right w:val="single" w:sz="6" w:space="0" w:color="000000"/>
            </w:tcBorders>
            <w:tcMar>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center"/>
              <w:rPr>
                <w:color w:val="1F295C"/>
              </w:rPr>
            </w:pPr>
            <w:r>
              <w:rPr>
                <w:color w:val="1F295C"/>
              </w:rPr>
              <w: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77" w:type="dxa"/>
            <w:tcBorders>
              <w:right w:val="single" w:sz="6" w:space="0" w:color="000000"/>
            </w:tcBorders>
            <w:tcMar>
              <w:right w:w="40" w:type="dxa"/>
            </w:tcMar>
            <w:vAlign w:val="center"/>
          </w:tcPr>
          <w:p>
            <w:pPr>
              <w:pStyle w:val="TableContents"/>
              <w:bidi w:val="0"/>
              <w:spacing w:before="0" w:after="283"/>
              <w:jc w:val="center"/>
              <w:rPr>
                <w:color w:val="1F295C"/>
              </w:rPr>
            </w:pPr>
            <w:r>
              <w:rPr>
                <w:color w:val="1F295C"/>
              </w:rPr>
              <w:t>●</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shd w:fill="1F295C" w:val="clear"/>
            <w:vAlign w:val="center"/>
          </w:tcPr>
          <w:p>
            <w:pPr>
              <w:pStyle w:val="TableContents"/>
              <w:bidi w:val="0"/>
              <w:spacing w:before="0" w:after="283"/>
              <w:jc w:val="left"/>
              <w:rPr/>
            </w:pPr>
            <w:r>
              <w:rPr/>
              <w:t> </w:t>
            </w:r>
          </w:p>
        </w:tc>
        <w:tc>
          <w:tcPr>
            <w:tcW w:w="5645" w:type="dxa"/>
            <w:tcBorders/>
            <w:shd w:fill="1F295C"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Financial Skills</w:t>
            </w:r>
          </w:p>
          <w:p>
            <w:pPr>
              <w:pStyle w:val="TableContents"/>
              <w:bidi w:val="0"/>
              <w:spacing w:before="0" w:after="20"/>
              <w:jc w:val="left"/>
              <w:rPr/>
            </w:pPr>
            <w:r>
              <w:rPr/>
              <w:t> </w:t>
            </w:r>
          </w:p>
        </w:tc>
        <w:tc>
          <w:tcPr>
            <w:tcW w:w="60" w:type="dxa"/>
            <w:tcBorders>
              <w:left w:val="single" w:sz="6" w:space="0" w:color="000000"/>
            </w:tcBorders>
            <w:shd w:fill="1F295C" w:val="clear"/>
            <w:tcMar>
              <w:left w:w="28" w:type="dxa"/>
            </w:tcMar>
            <w:vAlign w:val="center"/>
          </w:tcPr>
          <w:p>
            <w:pPr>
              <w:pStyle w:val="TableContents"/>
              <w:bidi w:val="0"/>
              <w:spacing w:before="0" w:after="283"/>
              <w:jc w:val="left"/>
              <w:rPr/>
            </w:pPr>
            <w:r>
              <w:rPr/>
              <w:t> </w:t>
            </w:r>
          </w:p>
        </w:tc>
        <w:tc>
          <w:tcPr>
            <w:tcW w:w="262" w:type="dxa"/>
            <w:tcBorders>
              <w:right w:val="single" w:sz="6" w:space="0" w:color="000000"/>
            </w:tcBorders>
            <w:shd w:fill="1F295C" w:val="clear"/>
            <w:tcMar>
              <w:right w:w="28" w:type="dxa"/>
            </w:tcMar>
            <w:vAlign w:val="center"/>
          </w:tcPr>
          <w:p>
            <w:pPr>
              <w:pStyle w:val="TableContents"/>
              <w:bidi w:val="0"/>
              <w:spacing w:before="0" w:after="283"/>
              <w:jc w:val="left"/>
              <w:rPr/>
            </w:pPr>
            <w:r>
              <w:rPr/>
              <w:t> </w:t>
            </w:r>
          </w:p>
        </w:tc>
        <w:tc>
          <w:tcPr>
            <w:tcW w:w="60" w:type="dxa"/>
            <w:tcBorders/>
            <w:shd w:fill="1F295C" w:val="clear"/>
            <w:vAlign w:val="center"/>
          </w:tcPr>
          <w:p>
            <w:pPr>
              <w:pStyle w:val="TableContents"/>
              <w:bidi w:val="0"/>
              <w:spacing w:before="0" w:after="283"/>
              <w:jc w:val="left"/>
              <w:rPr/>
            </w:pPr>
            <w:r>
              <w:rPr/>
              <w:t> </w:t>
            </w:r>
          </w:p>
        </w:tc>
        <w:tc>
          <w:tcPr>
            <w:tcW w:w="262" w:type="dxa"/>
            <w:tcBorders/>
            <w:shd w:fill="1F295C"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1F295C" w:val="clear"/>
            <w:tcMar>
              <w:left w:w="28" w:type="dxa"/>
            </w:tcMar>
            <w:vAlign w:val="center"/>
          </w:tcPr>
          <w:p>
            <w:pPr>
              <w:pStyle w:val="TableContents"/>
              <w:bidi w:val="0"/>
              <w:spacing w:before="0" w:after="283"/>
              <w:jc w:val="left"/>
              <w:rPr/>
            </w:pPr>
            <w:r>
              <w:rPr/>
              <w:t> </w:t>
            </w:r>
          </w:p>
        </w:tc>
        <w:tc>
          <w:tcPr>
            <w:tcW w:w="262" w:type="dxa"/>
            <w:tcBorders>
              <w:right w:val="single" w:sz="6" w:space="0" w:color="000000"/>
            </w:tcBorders>
            <w:shd w:fill="1F295C" w:val="clear"/>
            <w:tcMar>
              <w:right w:w="28" w:type="dxa"/>
            </w:tcMar>
            <w:vAlign w:val="center"/>
          </w:tcPr>
          <w:p>
            <w:pPr>
              <w:pStyle w:val="TableContents"/>
              <w:bidi w:val="0"/>
              <w:spacing w:before="0" w:after="283"/>
              <w:jc w:val="left"/>
              <w:rPr/>
            </w:pPr>
            <w:r>
              <w:rPr/>
              <w:t> </w:t>
            </w:r>
          </w:p>
        </w:tc>
        <w:tc>
          <w:tcPr>
            <w:tcW w:w="60" w:type="dxa"/>
            <w:tcBorders/>
            <w:shd w:fill="1F295C" w:val="clear"/>
            <w:vAlign w:val="center"/>
          </w:tcPr>
          <w:p>
            <w:pPr>
              <w:pStyle w:val="TableContents"/>
              <w:bidi w:val="0"/>
              <w:spacing w:before="0" w:after="283"/>
              <w:jc w:val="left"/>
              <w:rPr/>
            </w:pPr>
            <w:r>
              <w:rPr/>
              <w:t> </w:t>
            </w:r>
          </w:p>
        </w:tc>
        <w:tc>
          <w:tcPr>
            <w:tcW w:w="262" w:type="dxa"/>
            <w:tcBorders/>
            <w:shd w:fill="1F295C"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1F295C" w:val="clear"/>
            <w:tcMar>
              <w:left w:w="28" w:type="dxa"/>
            </w:tcMar>
            <w:vAlign w:val="center"/>
          </w:tcPr>
          <w:p>
            <w:pPr>
              <w:pStyle w:val="TableContents"/>
              <w:bidi w:val="0"/>
              <w:spacing w:before="0" w:after="283"/>
              <w:jc w:val="left"/>
              <w:rPr/>
            </w:pPr>
            <w:r>
              <w:rPr/>
              <w:t> </w:t>
            </w:r>
          </w:p>
        </w:tc>
        <w:tc>
          <w:tcPr>
            <w:tcW w:w="262" w:type="dxa"/>
            <w:tcBorders>
              <w:right w:val="single" w:sz="6" w:space="0" w:color="000000"/>
            </w:tcBorders>
            <w:shd w:fill="1F295C" w:val="clear"/>
            <w:tcMar>
              <w:right w:w="28" w:type="dxa"/>
            </w:tcMar>
            <w:vAlign w:val="center"/>
          </w:tcPr>
          <w:p>
            <w:pPr>
              <w:pStyle w:val="TableContents"/>
              <w:bidi w:val="0"/>
              <w:spacing w:before="0" w:after="283"/>
              <w:jc w:val="left"/>
              <w:rPr/>
            </w:pPr>
            <w:r>
              <w:rPr/>
              <w:t> </w:t>
            </w:r>
          </w:p>
        </w:tc>
        <w:tc>
          <w:tcPr>
            <w:tcW w:w="60" w:type="dxa"/>
            <w:tcBorders/>
            <w:shd w:fill="1F295C" w:val="clear"/>
            <w:vAlign w:val="center"/>
          </w:tcPr>
          <w:p>
            <w:pPr>
              <w:pStyle w:val="TableContents"/>
              <w:bidi w:val="0"/>
              <w:spacing w:before="0" w:after="283"/>
              <w:jc w:val="left"/>
              <w:rPr/>
            </w:pPr>
            <w:r>
              <w:rPr/>
              <w:t> </w:t>
            </w:r>
          </w:p>
        </w:tc>
        <w:tc>
          <w:tcPr>
            <w:tcW w:w="262" w:type="dxa"/>
            <w:tcBorders/>
            <w:shd w:fill="1F295C"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1F295C" w:val="clear"/>
            <w:tcMar>
              <w:left w:w="28" w:type="dxa"/>
            </w:tcMar>
            <w:vAlign w:val="center"/>
          </w:tcPr>
          <w:p>
            <w:pPr>
              <w:pStyle w:val="TableContents"/>
              <w:bidi w:val="0"/>
              <w:spacing w:before="0" w:after="283"/>
              <w:jc w:val="left"/>
              <w:rPr/>
            </w:pPr>
            <w:r>
              <w:rPr/>
              <w:t> </w:t>
            </w:r>
          </w:p>
        </w:tc>
        <w:tc>
          <w:tcPr>
            <w:tcW w:w="262" w:type="dxa"/>
            <w:tcBorders>
              <w:right w:val="single" w:sz="6" w:space="0" w:color="000000"/>
            </w:tcBorders>
            <w:shd w:fill="1F295C" w:val="clear"/>
            <w:tcMar>
              <w:right w:w="28" w:type="dxa"/>
            </w:tcMar>
            <w:vAlign w:val="center"/>
          </w:tcPr>
          <w:p>
            <w:pPr>
              <w:pStyle w:val="TableContents"/>
              <w:bidi w:val="0"/>
              <w:spacing w:before="0" w:after="283"/>
              <w:jc w:val="left"/>
              <w:rPr/>
            </w:pPr>
            <w:r>
              <w:rPr/>
              <w:t> </w:t>
            </w:r>
          </w:p>
        </w:tc>
        <w:tc>
          <w:tcPr>
            <w:tcW w:w="60" w:type="dxa"/>
            <w:tcBorders/>
            <w:shd w:fill="1F295C" w:val="clear"/>
            <w:vAlign w:val="center"/>
          </w:tcPr>
          <w:p>
            <w:pPr>
              <w:pStyle w:val="TableContents"/>
              <w:bidi w:val="0"/>
              <w:spacing w:before="0" w:after="283"/>
              <w:jc w:val="left"/>
              <w:rPr/>
            </w:pPr>
            <w:r>
              <w:rPr/>
              <w:t> </w:t>
            </w:r>
          </w:p>
        </w:tc>
        <w:tc>
          <w:tcPr>
            <w:tcW w:w="262" w:type="dxa"/>
            <w:tcBorders/>
            <w:shd w:fill="1F295C"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1F295C" w:val="clear"/>
            <w:tcMar>
              <w:left w:w="28" w:type="dxa"/>
            </w:tcMar>
            <w:vAlign w:val="center"/>
          </w:tcPr>
          <w:p>
            <w:pPr>
              <w:pStyle w:val="TableContents"/>
              <w:bidi w:val="0"/>
              <w:spacing w:before="0" w:after="283"/>
              <w:jc w:val="left"/>
              <w:rPr/>
            </w:pPr>
            <w:r>
              <w:rPr/>
              <w:t> </w:t>
            </w:r>
          </w:p>
        </w:tc>
        <w:tc>
          <w:tcPr>
            <w:tcW w:w="277" w:type="dxa"/>
            <w:tcBorders>
              <w:right w:val="single" w:sz="6" w:space="0" w:color="000000"/>
            </w:tcBorders>
            <w:shd w:fill="1F295C" w:val="clear"/>
            <w:tcMar>
              <w:right w:w="40" w:type="dxa"/>
            </w:tcMar>
            <w:vAlign w:val="center"/>
          </w:tcPr>
          <w:p>
            <w:pPr>
              <w:pStyle w:val="TableContents"/>
              <w:bidi w:val="0"/>
              <w:spacing w:before="0" w:after="283"/>
              <w:jc w:val="left"/>
              <w:rPr/>
            </w:pPr>
            <w:r>
              <w:rPr/>
              <w:t> </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5645" w:type="dxa"/>
            <w:tcBorders>
              <w:bottom w:val="single" w:sz="6" w:space="0" w:color="000000"/>
            </w:tcBorders>
            <w:shd w:fill="D5DBE3" w:val="clear"/>
            <w:tcMar>
              <w:bottom w:w="40" w:type="dxa"/>
            </w:tcMar>
            <w:vAlign w:val="center"/>
          </w:tcPr>
          <w:p>
            <w:pPr>
              <w:pStyle w:val="TableContents"/>
              <w:bidi w:val="0"/>
              <w:spacing w:before="0" w:after="283"/>
              <w:jc w:val="left"/>
              <w:rPr/>
            </w:pPr>
            <w:r>
              <w:rPr/>
              <w:t> </w:t>
            </w:r>
            <w:r>
              <w:rPr/>
              <w:t>Public Company Financial Reporting</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40"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40"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7" w:type="dxa"/>
            <w:tcBorders>
              <w:bottom w:val="single" w:sz="6" w:space="0" w:color="000000"/>
              <w:right w:val="single" w:sz="6" w:space="0" w:color="000000"/>
            </w:tcBorders>
            <w:tcMar>
              <w:bottom w:w="40" w:type="dxa"/>
              <w:right w:w="40" w:type="dxa"/>
            </w:tcMar>
            <w:vAlign w:val="center"/>
          </w:tcPr>
          <w:p>
            <w:pPr>
              <w:pStyle w:val="TableContents"/>
              <w:bidi w:val="0"/>
              <w:spacing w:before="0" w:after="283"/>
              <w:jc w:val="center"/>
              <w:rPr>
                <w:color w:val="1F295C"/>
              </w:rPr>
            </w:pPr>
            <w:r>
              <w:rPr>
                <w:color w:val="1F295C"/>
              </w:rPr>
              <w:t>●</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5645" w:type="dxa"/>
            <w:tcBorders>
              <w:bottom w:val="single" w:sz="6" w:space="0" w:color="000000"/>
            </w:tcBorders>
            <w:shd w:fill="D5DBE3" w:val="clear"/>
            <w:tcMar>
              <w:bottom w:w="40" w:type="dxa"/>
            </w:tcMar>
            <w:vAlign w:val="center"/>
          </w:tcPr>
          <w:p>
            <w:pPr>
              <w:pStyle w:val="TableContents"/>
              <w:bidi w:val="0"/>
              <w:spacing w:before="0" w:after="283"/>
              <w:jc w:val="left"/>
              <w:rPr/>
            </w:pPr>
            <w:r>
              <w:rPr/>
              <w:t> </w:t>
            </w:r>
            <w:r>
              <w:rPr/>
              <w:t>Capital Structure Experience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40"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40"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40"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7" w:type="dxa"/>
            <w:tcBorders>
              <w:bottom w:val="single" w:sz="6" w:space="0" w:color="000000"/>
              <w:right w:val="single" w:sz="6" w:space="0" w:color="000000"/>
            </w:tcBorders>
            <w:tcMar>
              <w:bottom w:w="40" w:type="dxa"/>
              <w:right w:w="40" w:type="dxa"/>
            </w:tcMar>
            <w:vAlign w:val="center"/>
          </w:tcPr>
          <w:p>
            <w:pPr>
              <w:pStyle w:val="TableContents"/>
              <w:bidi w:val="0"/>
              <w:spacing w:before="0" w:after="283"/>
              <w:jc w:val="center"/>
              <w:rPr>
                <w:color w:val="1F295C"/>
              </w:rPr>
            </w:pPr>
            <w:r>
              <w:rPr>
                <w:color w:val="1F295C"/>
              </w:rPr>
              <w:t>●</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5645" w:type="dxa"/>
            <w:tcBorders>
              <w:bottom w:val="single" w:sz="6" w:space="0" w:color="000000"/>
            </w:tcBorders>
            <w:shd w:fill="D5DBE3" w:val="clear"/>
            <w:tcMar>
              <w:bottom w:w="40" w:type="dxa"/>
            </w:tcMar>
            <w:vAlign w:val="center"/>
          </w:tcPr>
          <w:p>
            <w:pPr>
              <w:pStyle w:val="TableContents"/>
              <w:bidi w:val="0"/>
              <w:spacing w:before="0" w:after="283"/>
              <w:jc w:val="left"/>
              <w:rPr/>
            </w:pPr>
            <w:r>
              <w:rPr/>
              <w:t> </w:t>
            </w:r>
            <w:r>
              <w:rPr/>
              <w:t>M&amp;A Transactions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40"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40"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7" w:type="dxa"/>
            <w:tcBorders>
              <w:bottom w:val="single" w:sz="6" w:space="0" w:color="000000"/>
              <w:right w:val="single" w:sz="6" w:space="0" w:color="000000"/>
            </w:tcBorders>
            <w:tcMar>
              <w:bottom w:w="40" w:type="dxa"/>
              <w:right w:w="40" w:type="dxa"/>
            </w:tcMar>
            <w:vAlign w:val="center"/>
          </w:tcPr>
          <w:p>
            <w:pPr>
              <w:pStyle w:val="TableContents"/>
              <w:bidi w:val="0"/>
              <w:spacing w:before="0" w:after="283"/>
              <w:jc w:val="center"/>
              <w:rPr>
                <w:color w:val="1F295C"/>
              </w:rPr>
            </w:pPr>
            <w:r>
              <w:rPr>
                <w:color w:val="1F295C"/>
              </w:rPr>
              <w:t>●</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shd w:fill="D5DBE3" w:val="clear"/>
            <w:vAlign w:val="center"/>
          </w:tcPr>
          <w:p>
            <w:pPr>
              <w:pStyle w:val="TableContents"/>
              <w:bidi w:val="0"/>
              <w:spacing w:before="0" w:after="283"/>
              <w:jc w:val="left"/>
              <w:rPr/>
            </w:pPr>
            <w:r>
              <w:rPr/>
              <w:t> </w:t>
            </w:r>
          </w:p>
        </w:tc>
        <w:tc>
          <w:tcPr>
            <w:tcW w:w="5645" w:type="dxa"/>
            <w:tcBorders/>
            <w:shd w:fill="D5DBE3" w:val="clear"/>
            <w:vAlign w:val="center"/>
          </w:tcPr>
          <w:p>
            <w:pPr>
              <w:pStyle w:val="TableContents"/>
              <w:bidi w:val="0"/>
              <w:spacing w:before="0" w:after="283"/>
              <w:jc w:val="left"/>
              <w:rPr/>
            </w:pPr>
            <w:r>
              <w:rPr/>
              <w:t> </w:t>
            </w:r>
            <w:r>
              <w:rPr/>
              <w:t>Risk Management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62" w:type="dxa"/>
            <w:tcBorders>
              <w:right w:val="single" w:sz="6" w:space="0" w:color="000000"/>
            </w:tcBorders>
            <w:tcMar>
              <w:right w:w="28" w:type="dxa"/>
            </w:tcMar>
            <w:vAlign w:val="center"/>
          </w:tcPr>
          <w:p>
            <w:pPr>
              <w:pStyle w:val="TableContents"/>
              <w:bidi w:val="0"/>
              <w:spacing w:before="0" w:after="283"/>
              <w:jc w:val="center"/>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62" w:type="dxa"/>
            <w:tcBorders>
              <w:right w:val="single" w:sz="6" w:space="0" w:color="000000"/>
            </w:tcBorders>
            <w:tcMar>
              <w:right w:w="28" w:type="dxa"/>
            </w:tcMar>
            <w:vAlign w:val="center"/>
          </w:tcPr>
          <w:p>
            <w:pPr>
              <w:pStyle w:val="TableContents"/>
              <w:bidi w:val="0"/>
              <w:spacing w:before="0" w:after="283"/>
              <w:jc w:val="center"/>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62" w:type="dxa"/>
            <w:tcBorders>
              <w:right w:val="single" w:sz="6" w:space="0" w:color="000000"/>
            </w:tcBorders>
            <w:tcMar>
              <w:right w:w="28" w:type="dxa"/>
            </w:tcMar>
            <w:vAlign w:val="center"/>
          </w:tcPr>
          <w:p>
            <w:pPr>
              <w:pStyle w:val="TableContents"/>
              <w:bidi w:val="0"/>
              <w:spacing w:before="0" w:after="283"/>
              <w:jc w:val="center"/>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center"/>
              <w:rPr>
                <w:color w:val="1F295C"/>
              </w:rPr>
            </w:pPr>
            <w:r>
              <w:rPr>
                <w:color w:val="1F295C"/>
              </w:rPr>
              <w: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62" w:type="dxa"/>
            <w:tcBorders>
              <w:right w:val="single" w:sz="6" w:space="0" w:color="000000"/>
            </w:tcBorders>
            <w:tcMar>
              <w:right w:w="28" w:type="dxa"/>
            </w:tcMar>
            <w:vAlign w:val="center"/>
          </w:tcPr>
          <w:p>
            <w:pPr>
              <w:pStyle w:val="TableContents"/>
              <w:bidi w:val="0"/>
              <w:spacing w:before="0" w:after="283"/>
              <w:jc w:val="center"/>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77" w:type="dxa"/>
            <w:tcBorders>
              <w:right w:val="single" w:sz="6" w:space="0" w:color="000000"/>
            </w:tcBorders>
            <w:tcMar>
              <w:right w:w="40" w:type="dxa"/>
            </w:tcMar>
            <w:vAlign w:val="center"/>
          </w:tcPr>
          <w:p>
            <w:pPr>
              <w:pStyle w:val="TableContents"/>
              <w:bidi w:val="0"/>
              <w:spacing w:before="0" w:after="283"/>
              <w:jc w:val="center"/>
              <w:rPr>
                <w:color w:val="1F295C"/>
              </w:rPr>
            </w:pPr>
            <w:r>
              <w:rPr>
                <w:color w:val="1F295C"/>
              </w:rPr>
              <w:t>●</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shd w:fill="1F295C" w:val="clear"/>
            <w:vAlign w:val="center"/>
          </w:tcPr>
          <w:p>
            <w:pPr>
              <w:pStyle w:val="TableContents"/>
              <w:bidi w:val="0"/>
              <w:spacing w:before="0" w:after="283"/>
              <w:jc w:val="left"/>
              <w:rPr/>
            </w:pPr>
            <w:r>
              <w:rPr/>
              <w:t> </w:t>
            </w:r>
          </w:p>
        </w:tc>
        <w:tc>
          <w:tcPr>
            <w:tcW w:w="5645" w:type="dxa"/>
            <w:tcBorders/>
            <w:shd w:fill="1F295C"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Experience</w:t>
            </w:r>
          </w:p>
          <w:p>
            <w:pPr>
              <w:pStyle w:val="TableContents"/>
              <w:bidi w:val="0"/>
              <w:spacing w:before="0" w:after="20"/>
              <w:jc w:val="left"/>
              <w:rPr/>
            </w:pPr>
            <w:r>
              <w:rPr/>
              <w:t> </w:t>
            </w:r>
          </w:p>
        </w:tc>
        <w:tc>
          <w:tcPr>
            <w:tcW w:w="60" w:type="dxa"/>
            <w:tcBorders>
              <w:left w:val="single" w:sz="6" w:space="0" w:color="000000"/>
            </w:tcBorders>
            <w:shd w:fill="1F295C" w:val="clear"/>
            <w:tcMar>
              <w:left w:w="28" w:type="dxa"/>
            </w:tcMar>
            <w:vAlign w:val="center"/>
          </w:tcPr>
          <w:p>
            <w:pPr>
              <w:pStyle w:val="TableContents"/>
              <w:bidi w:val="0"/>
              <w:spacing w:before="0" w:after="283"/>
              <w:jc w:val="left"/>
              <w:rPr/>
            </w:pPr>
            <w:r>
              <w:rPr/>
              <w:t> </w:t>
            </w:r>
          </w:p>
        </w:tc>
        <w:tc>
          <w:tcPr>
            <w:tcW w:w="262" w:type="dxa"/>
            <w:tcBorders>
              <w:right w:val="single" w:sz="6" w:space="0" w:color="000000"/>
            </w:tcBorders>
            <w:shd w:fill="1F295C" w:val="clear"/>
            <w:tcMar>
              <w:right w:w="28" w:type="dxa"/>
            </w:tcMar>
            <w:vAlign w:val="center"/>
          </w:tcPr>
          <w:p>
            <w:pPr>
              <w:pStyle w:val="TableContents"/>
              <w:bidi w:val="0"/>
              <w:spacing w:before="0" w:after="283"/>
              <w:jc w:val="left"/>
              <w:rPr/>
            </w:pPr>
            <w:r>
              <w:rPr/>
              <w:t> </w:t>
            </w:r>
          </w:p>
        </w:tc>
        <w:tc>
          <w:tcPr>
            <w:tcW w:w="60" w:type="dxa"/>
            <w:tcBorders/>
            <w:shd w:fill="1F295C" w:val="clear"/>
            <w:vAlign w:val="center"/>
          </w:tcPr>
          <w:p>
            <w:pPr>
              <w:pStyle w:val="TableContents"/>
              <w:bidi w:val="0"/>
              <w:spacing w:before="0" w:after="283"/>
              <w:jc w:val="left"/>
              <w:rPr/>
            </w:pPr>
            <w:r>
              <w:rPr/>
              <w:t> </w:t>
            </w:r>
          </w:p>
        </w:tc>
        <w:tc>
          <w:tcPr>
            <w:tcW w:w="262" w:type="dxa"/>
            <w:tcBorders/>
            <w:shd w:fill="1F295C"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1F295C" w:val="clear"/>
            <w:tcMar>
              <w:left w:w="28" w:type="dxa"/>
            </w:tcMar>
            <w:vAlign w:val="center"/>
          </w:tcPr>
          <w:p>
            <w:pPr>
              <w:pStyle w:val="TableContents"/>
              <w:bidi w:val="0"/>
              <w:spacing w:before="0" w:after="283"/>
              <w:jc w:val="left"/>
              <w:rPr/>
            </w:pPr>
            <w:r>
              <w:rPr/>
              <w:t> </w:t>
            </w:r>
          </w:p>
        </w:tc>
        <w:tc>
          <w:tcPr>
            <w:tcW w:w="262" w:type="dxa"/>
            <w:tcBorders>
              <w:right w:val="single" w:sz="6" w:space="0" w:color="000000"/>
            </w:tcBorders>
            <w:shd w:fill="1F295C" w:val="clear"/>
            <w:tcMar>
              <w:right w:w="28" w:type="dxa"/>
            </w:tcMar>
            <w:vAlign w:val="center"/>
          </w:tcPr>
          <w:p>
            <w:pPr>
              <w:pStyle w:val="TableContents"/>
              <w:bidi w:val="0"/>
              <w:spacing w:before="0" w:after="283"/>
              <w:jc w:val="left"/>
              <w:rPr/>
            </w:pPr>
            <w:r>
              <w:rPr/>
              <w:t> </w:t>
            </w:r>
          </w:p>
        </w:tc>
        <w:tc>
          <w:tcPr>
            <w:tcW w:w="60" w:type="dxa"/>
            <w:tcBorders/>
            <w:shd w:fill="1F295C" w:val="clear"/>
            <w:vAlign w:val="center"/>
          </w:tcPr>
          <w:p>
            <w:pPr>
              <w:pStyle w:val="TableContents"/>
              <w:bidi w:val="0"/>
              <w:spacing w:before="0" w:after="283"/>
              <w:jc w:val="left"/>
              <w:rPr/>
            </w:pPr>
            <w:r>
              <w:rPr/>
              <w:t> </w:t>
            </w:r>
          </w:p>
        </w:tc>
        <w:tc>
          <w:tcPr>
            <w:tcW w:w="262" w:type="dxa"/>
            <w:tcBorders/>
            <w:shd w:fill="1F295C"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1F295C" w:val="clear"/>
            <w:tcMar>
              <w:left w:w="28" w:type="dxa"/>
            </w:tcMar>
            <w:vAlign w:val="center"/>
          </w:tcPr>
          <w:p>
            <w:pPr>
              <w:pStyle w:val="TableContents"/>
              <w:bidi w:val="0"/>
              <w:spacing w:before="0" w:after="283"/>
              <w:jc w:val="left"/>
              <w:rPr/>
            </w:pPr>
            <w:r>
              <w:rPr/>
              <w:t> </w:t>
            </w:r>
          </w:p>
        </w:tc>
        <w:tc>
          <w:tcPr>
            <w:tcW w:w="262" w:type="dxa"/>
            <w:tcBorders>
              <w:right w:val="single" w:sz="6" w:space="0" w:color="000000"/>
            </w:tcBorders>
            <w:shd w:fill="1F295C" w:val="clear"/>
            <w:tcMar>
              <w:right w:w="28" w:type="dxa"/>
            </w:tcMar>
            <w:vAlign w:val="center"/>
          </w:tcPr>
          <w:p>
            <w:pPr>
              <w:pStyle w:val="TableContents"/>
              <w:bidi w:val="0"/>
              <w:spacing w:before="0" w:after="283"/>
              <w:jc w:val="left"/>
              <w:rPr/>
            </w:pPr>
            <w:r>
              <w:rPr/>
              <w:t> </w:t>
            </w:r>
          </w:p>
        </w:tc>
        <w:tc>
          <w:tcPr>
            <w:tcW w:w="60" w:type="dxa"/>
            <w:tcBorders/>
            <w:shd w:fill="1F295C" w:val="clear"/>
            <w:vAlign w:val="center"/>
          </w:tcPr>
          <w:p>
            <w:pPr>
              <w:pStyle w:val="TableContents"/>
              <w:bidi w:val="0"/>
              <w:spacing w:before="0" w:after="283"/>
              <w:jc w:val="left"/>
              <w:rPr/>
            </w:pPr>
            <w:r>
              <w:rPr/>
              <w:t> </w:t>
            </w:r>
          </w:p>
        </w:tc>
        <w:tc>
          <w:tcPr>
            <w:tcW w:w="262" w:type="dxa"/>
            <w:tcBorders/>
            <w:shd w:fill="1F295C"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1F295C" w:val="clear"/>
            <w:tcMar>
              <w:left w:w="28" w:type="dxa"/>
            </w:tcMar>
            <w:vAlign w:val="center"/>
          </w:tcPr>
          <w:p>
            <w:pPr>
              <w:pStyle w:val="TableContents"/>
              <w:bidi w:val="0"/>
              <w:spacing w:before="0" w:after="283"/>
              <w:jc w:val="left"/>
              <w:rPr/>
            </w:pPr>
            <w:r>
              <w:rPr/>
              <w:t> </w:t>
            </w:r>
          </w:p>
        </w:tc>
        <w:tc>
          <w:tcPr>
            <w:tcW w:w="262" w:type="dxa"/>
            <w:tcBorders>
              <w:right w:val="single" w:sz="6" w:space="0" w:color="000000"/>
            </w:tcBorders>
            <w:shd w:fill="1F295C" w:val="clear"/>
            <w:tcMar>
              <w:right w:w="28" w:type="dxa"/>
            </w:tcMar>
            <w:vAlign w:val="center"/>
          </w:tcPr>
          <w:p>
            <w:pPr>
              <w:pStyle w:val="TableContents"/>
              <w:bidi w:val="0"/>
              <w:spacing w:before="0" w:after="283"/>
              <w:jc w:val="left"/>
              <w:rPr/>
            </w:pPr>
            <w:r>
              <w:rPr/>
              <w:t> </w:t>
            </w:r>
          </w:p>
        </w:tc>
        <w:tc>
          <w:tcPr>
            <w:tcW w:w="60" w:type="dxa"/>
            <w:tcBorders/>
            <w:shd w:fill="1F295C" w:val="clear"/>
            <w:vAlign w:val="center"/>
          </w:tcPr>
          <w:p>
            <w:pPr>
              <w:pStyle w:val="TableContents"/>
              <w:bidi w:val="0"/>
              <w:spacing w:before="0" w:after="283"/>
              <w:jc w:val="left"/>
              <w:rPr/>
            </w:pPr>
            <w:r>
              <w:rPr/>
              <w:t> </w:t>
            </w:r>
          </w:p>
        </w:tc>
        <w:tc>
          <w:tcPr>
            <w:tcW w:w="262" w:type="dxa"/>
            <w:tcBorders/>
            <w:shd w:fill="1F295C"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1F295C" w:val="clear"/>
            <w:tcMar>
              <w:left w:w="28" w:type="dxa"/>
            </w:tcMar>
            <w:vAlign w:val="center"/>
          </w:tcPr>
          <w:p>
            <w:pPr>
              <w:pStyle w:val="TableContents"/>
              <w:bidi w:val="0"/>
              <w:spacing w:before="0" w:after="283"/>
              <w:jc w:val="left"/>
              <w:rPr/>
            </w:pPr>
            <w:r>
              <w:rPr/>
              <w:t> </w:t>
            </w:r>
          </w:p>
        </w:tc>
        <w:tc>
          <w:tcPr>
            <w:tcW w:w="277" w:type="dxa"/>
            <w:tcBorders>
              <w:right w:val="single" w:sz="6" w:space="0" w:color="000000"/>
            </w:tcBorders>
            <w:shd w:fill="1F295C" w:val="clear"/>
            <w:tcMar>
              <w:right w:w="40" w:type="dxa"/>
            </w:tcMar>
            <w:vAlign w:val="center"/>
          </w:tcPr>
          <w:p>
            <w:pPr>
              <w:pStyle w:val="TableContents"/>
              <w:bidi w:val="0"/>
              <w:spacing w:before="0" w:after="283"/>
              <w:jc w:val="left"/>
              <w:rPr/>
            </w:pPr>
            <w:r>
              <w:rPr/>
              <w:t> </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5645"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r>
              <w:rPr/>
              <w:t>Public Board</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7"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color w:val="1F295C"/>
              </w:rPr>
            </w:pPr>
            <w:r>
              <w:rPr>
                <w:color w:val="1F295C"/>
              </w:rPr>
              <w:t>●</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5645"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r>
              <w:rPr/>
              <w:t>Audit Committee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7"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color w:val="1F295C"/>
              </w:rPr>
            </w:pPr>
            <w:r>
              <w:rPr>
                <w:color w:val="1F295C"/>
              </w:rPr>
              <w:t>●</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5645"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r>
              <w:rPr/>
              <w:t>Compensation Committee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7"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color w:val="1F295C"/>
              </w:rPr>
            </w:pPr>
            <w:r>
              <w:rPr>
                <w:color w:val="1F295C"/>
              </w:rPr>
              <w:t>●</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5645"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r>
              <w:rPr/>
              <w:t>Corporate Governance / Nominating Committee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7"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color w:val="1F295C"/>
              </w:rPr>
            </w:pPr>
            <w:r>
              <w:rPr>
                <w:color w:val="1F295C"/>
              </w:rPr>
              <w:t>●</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5645"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r>
              <w:rPr/>
              <w:t>Executive Leadership</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7"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color w:val="1F295C"/>
              </w:rPr>
            </w:pPr>
            <w:r>
              <w:rPr>
                <w:color w:val="1F295C"/>
              </w:rPr>
              <w:t>●</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5645"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r>
              <w:rPr/>
              <w:t>Strategic / Operational / Industrial Distribution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7"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color w:val="1F295C"/>
              </w:rPr>
            </w:pPr>
            <w:r>
              <w:rPr>
                <w:color w:val="1F295C"/>
              </w:rPr>
              <w:t>●</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5645"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r>
              <w:rPr/>
              <w:t>Human Capital Management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7"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color w:val="1F295C"/>
              </w:rPr>
            </w:pPr>
            <w:r>
              <w:rPr>
                <w:color w:val="1F295C"/>
              </w:rPr>
              <w:t>●</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5645"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r>
              <w:rPr/>
              <w:t>IT / Technology / Cybersecurity / Digital Transformation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2"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77"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color w:val="1F295C"/>
              </w:rPr>
            </w:pPr>
            <w:r>
              <w:rPr>
                <w:color w:val="1F295C"/>
              </w:rPr>
              <w:t>●</w:t>
            </w:r>
          </w:p>
        </w:tc>
      </w:tr>
      <w:tr>
        <w:trPr/>
        <w:tc>
          <w:tcPr>
            <w:tcW w:w="375" w:type="dxa"/>
            <w:vMerge w:val="continue"/>
            <w:tcBorders>
              <w:bottom w:val="single" w:sz="8" w:space="0" w:color="1070B8"/>
            </w:tcBorders>
            <w:shd w:fill="1F295C" w:val="clear"/>
            <w:tcMar>
              <w:bottom w:w="120" w:type="dxa"/>
            </w:tcMar>
            <w:vAlign w:val="center"/>
          </w:tcPr>
          <w:p>
            <w:pPr>
              <w:pStyle w:val="Normal"/>
              <w:bidi w:val="0"/>
              <w:jc w:val="left"/>
              <w:rPr/>
            </w:pPr>
            <w:r>
              <w:rPr/>
            </w:r>
          </w:p>
        </w:tc>
        <w:tc>
          <w:tcPr>
            <w:tcW w:w="60" w:type="dxa"/>
            <w:tcBorders>
              <w:bottom w:val="single" w:sz="8" w:space="0" w:color="1070B8"/>
            </w:tcBorders>
            <w:shd w:fill="D5DBE3" w:val="clear"/>
            <w:tcMar>
              <w:bottom w:w="28" w:type="dxa"/>
            </w:tcMar>
            <w:vAlign w:val="center"/>
          </w:tcPr>
          <w:p>
            <w:pPr>
              <w:pStyle w:val="TableContents"/>
              <w:bidi w:val="0"/>
              <w:spacing w:before="0" w:after="283"/>
              <w:jc w:val="left"/>
              <w:rPr/>
            </w:pPr>
            <w:r>
              <w:rPr/>
              <w:t> </w:t>
            </w:r>
          </w:p>
        </w:tc>
        <w:tc>
          <w:tcPr>
            <w:tcW w:w="5645" w:type="dxa"/>
            <w:tcBorders>
              <w:bottom w:val="single" w:sz="8" w:space="0" w:color="1070B8"/>
            </w:tcBorders>
            <w:shd w:fill="D5DBE3" w:val="clear"/>
            <w:tcMar>
              <w:bottom w:w="28" w:type="dxa"/>
            </w:tcMar>
            <w:vAlign w:val="center"/>
          </w:tcPr>
          <w:p>
            <w:pPr>
              <w:pStyle w:val="TableContents"/>
              <w:bidi w:val="0"/>
              <w:spacing w:before="0" w:after="283"/>
              <w:jc w:val="left"/>
              <w:rPr/>
            </w:pPr>
            <w:r>
              <w:rPr/>
              <w:t> </w:t>
            </w:r>
            <w:r>
              <w:rPr/>
              <w:t>Environmental, Social, Governance</w:t>
            </w:r>
          </w:p>
        </w:tc>
        <w:tc>
          <w:tcPr>
            <w:tcW w:w="60" w:type="dxa"/>
            <w:tcBorders>
              <w:left w:val="single" w:sz="6" w:space="0" w:color="000000"/>
              <w:bottom w:val="single" w:sz="8" w:space="0" w:color="1070B8"/>
            </w:tcBorders>
            <w:tcMar>
              <w:left w:w="28" w:type="dxa"/>
              <w:bottom w:w="28" w:type="dxa"/>
            </w:tcMar>
            <w:vAlign w:val="center"/>
          </w:tcPr>
          <w:p>
            <w:pPr>
              <w:pStyle w:val="TableContents"/>
              <w:bidi w:val="0"/>
              <w:spacing w:before="0" w:after="283"/>
              <w:jc w:val="left"/>
              <w:rPr/>
            </w:pPr>
            <w:r>
              <w:rPr/>
              <w:t> </w:t>
            </w:r>
          </w:p>
        </w:tc>
        <w:tc>
          <w:tcPr>
            <w:tcW w:w="262" w:type="dxa"/>
            <w:tcBorders>
              <w:bottom w:val="single" w:sz="8" w:space="0" w:color="1070B8"/>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8" w:space="0" w:color="1070B8"/>
            </w:tcBorders>
            <w:tcMar>
              <w:bottom w:w="28" w:type="dxa"/>
            </w:tcMar>
            <w:vAlign w:val="center"/>
          </w:tcPr>
          <w:p>
            <w:pPr>
              <w:pStyle w:val="TableContents"/>
              <w:bidi w:val="0"/>
              <w:spacing w:before="0" w:after="283"/>
              <w:jc w:val="left"/>
              <w:rPr/>
            </w:pPr>
            <w:r>
              <w:rPr/>
              <w:t> </w:t>
            </w:r>
          </w:p>
        </w:tc>
        <w:tc>
          <w:tcPr>
            <w:tcW w:w="262" w:type="dxa"/>
            <w:tcBorders>
              <w:bottom w:val="single" w:sz="8" w:space="0" w:color="1070B8"/>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8" w:space="0" w:color="1070B8"/>
            </w:tcBorders>
            <w:tcMar>
              <w:left w:w="28" w:type="dxa"/>
              <w:bottom w:w="28" w:type="dxa"/>
            </w:tcMar>
            <w:vAlign w:val="center"/>
          </w:tcPr>
          <w:p>
            <w:pPr>
              <w:pStyle w:val="TableContents"/>
              <w:bidi w:val="0"/>
              <w:spacing w:before="0" w:after="283"/>
              <w:jc w:val="left"/>
              <w:rPr/>
            </w:pPr>
            <w:r>
              <w:rPr/>
              <w:t> </w:t>
            </w:r>
          </w:p>
        </w:tc>
        <w:tc>
          <w:tcPr>
            <w:tcW w:w="262" w:type="dxa"/>
            <w:tcBorders>
              <w:bottom w:val="single" w:sz="8" w:space="0" w:color="1070B8"/>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8" w:space="0" w:color="1070B8"/>
            </w:tcBorders>
            <w:tcMar>
              <w:bottom w:w="28" w:type="dxa"/>
            </w:tcMar>
            <w:vAlign w:val="center"/>
          </w:tcPr>
          <w:p>
            <w:pPr>
              <w:pStyle w:val="TableContents"/>
              <w:bidi w:val="0"/>
              <w:spacing w:before="0" w:after="283"/>
              <w:jc w:val="left"/>
              <w:rPr/>
            </w:pPr>
            <w:r>
              <w:rPr/>
              <w:t> </w:t>
            </w:r>
          </w:p>
        </w:tc>
        <w:tc>
          <w:tcPr>
            <w:tcW w:w="262" w:type="dxa"/>
            <w:tcBorders>
              <w:bottom w:val="single" w:sz="8" w:space="0" w:color="1070B8"/>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8" w:space="0" w:color="1070B8"/>
            </w:tcBorders>
            <w:tcMar>
              <w:left w:w="28" w:type="dxa"/>
              <w:bottom w:w="28" w:type="dxa"/>
            </w:tcMar>
            <w:vAlign w:val="center"/>
          </w:tcPr>
          <w:p>
            <w:pPr>
              <w:pStyle w:val="TableContents"/>
              <w:bidi w:val="0"/>
              <w:spacing w:before="0" w:after="283"/>
              <w:jc w:val="left"/>
              <w:rPr/>
            </w:pPr>
            <w:r>
              <w:rPr/>
              <w:t> </w:t>
            </w:r>
          </w:p>
        </w:tc>
        <w:tc>
          <w:tcPr>
            <w:tcW w:w="262" w:type="dxa"/>
            <w:tcBorders>
              <w:bottom w:val="single" w:sz="8" w:space="0" w:color="1070B8"/>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1070B8"/>
            </w:tcBorders>
            <w:tcMar>
              <w:bottom w:w="28" w:type="dxa"/>
            </w:tcMar>
            <w:vAlign w:val="center"/>
          </w:tcPr>
          <w:p>
            <w:pPr>
              <w:pStyle w:val="TableContents"/>
              <w:bidi w:val="0"/>
              <w:spacing w:before="0" w:after="283"/>
              <w:jc w:val="left"/>
              <w:rPr/>
            </w:pPr>
            <w:r>
              <w:rPr/>
              <w:t> </w:t>
            </w:r>
          </w:p>
        </w:tc>
        <w:tc>
          <w:tcPr>
            <w:tcW w:w="262" w:type="dxa"/>
            <w:tcBorders>
              <w:bottom w:val="single" w:sz="8" w:space="0" w:color="1070B8"/>
            </w:tcBorders>
            <w:tcMar>
              <w:bottom w:w="28" w:type="dxa"/>
            </w:tcMar>
            <w:vAlign w:val="center"/>
          </w:tcPr>
          <w:p>
            <w:pPr>
              <w:pStyle w:val="TableContents"/>
              <w:bidi w:val="0"/>
              <w:spacing w:before="0" w:after="283"/>
              <w:jc w:val="center"/>
              <w:rPr>
                <w:color w:val="1F295C"/>
              </w:rPr>
            </w:pPr>
            <w:r>
              <w:rPr>
                <w:color w:val="1F295C"/>
              </w:rPr>
              <w:t>●</w:t>
            </w:r>
          </w:p>
        </w:tc>
        <w:tc>
          <w:tcPr>
            <w:tcW w:w="60" w:type="dxa"/>
            <w:tcBorders>
              <w:left w:val="single" w:sz="6" w:space="0" w:color="000000"/>
              <w:bottom w:val="single" w:sz="8" w:space="0" w:color="1070B8"/>
            </w:tcBorders>
            <w:tcMar>
              <w:left w:w="28" w:type="dxa"/>
              <w:bottom w:w="28" w:type="dxa"/>
            </w:tcMar>
            <w:vAlign w:val="center"/>
          </w:tcPr>
          <w:p>
            <w:pPr>
              <w:pStyle w:val="TableContents"/>
              <w:bidi w:val="0"/>
              <w:spacing w:before="0" w:after="283"/>
              <w:jc w:val="left"/>
              <w:rPr/>
            </w:pPr>
            <w:r>
              <w:rPr/>
              <w:t> </w:t>
            </w:r>
          </w:p>
        </w:tc>
        <w:tc>
          <w:tcPr>
            <w:tcW w:w="262" w:type="dxa"/>
            <w:tcBorders>
              <w:bottom w:val="single" w:sz="8" w:space="0" w:color="1070B8"/>
              <w:right w:val="single" w:sz="6" w:space="0" w:color="000000"/>
            </w:tcBorders>
            <w:tcMar>
              <w:bottom w:w="28" w:type="dxa"/>
              <w:right w:w="28" w:type="dxa"/>
            </w:tcMar>
            <w:vAlign w:val="center"/>
          </w:tcPr>
          <w:p>
            <w:pPr>
              <w:pStyle w:val="TableContents"/>
              <w:bidi w:val="0"/>
              <w:spacing w:before="0" w:after="283"/>
              <w:jc w:val="center"/>
              <w:rPr>
                <w:color w:val="1F295C"/>
              </w:rPr>
            </w:pPr>
            <w:r>
              <w:rPr>
                <w:color w:val="1F295C"/>
              </w:rPr>
              <w:t>●</w:t>
            </w:r>
          </w:p>
        </w:tc>
        <w:tc>
          <w:tcPr>
            <w:tcW w:w="60" w:type="dxa"/>
            <w:tcBorders>
              <w:bottom w:val="single" w:sz="8" w:space="0" w:color="1070B8"/>
            </w:tcBorders>
            <w:tcMar>
              <w:bottom w:w="28" w:type="dxa"/>
            </w:tcMar>
            <w:vAlign w:val="center"/>
          </w:tcPr>
          <w:p>
            <w:pPr>
              <w:pStyle w:val="TableContents"/>
              <w:bidi w:val="0"/>
              <w:spacing w:before="0" w:after="283"/>
              <w:jc w:val="left"/>
              <w:rPr/>
            </w:pPr>
            <w:r>
              <w:rPr/>
              <w:t> </w:t>
            </w:r>
          </w:p>
        </w:tc>
        <w:tc>
          <w:tcPr>
            <w:tcW w:w="262" w:type="dxa"/>
            <w:tcBorders>
              <w:bottom w:val="single" w:sz="8" w:space="0" w:color="1070B8"/>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8" w:space="0" w:color="1070B8"/>
            </w:tcBorders>
            <w:tcMar>
              <w:left w:w="28" w:type="dxa"/>
              <w:bottom w:w="28" w:type="dxa"/>
            </w:tcMar>
            <w:vAlign w:val="center"/>
          </w:tcPr>
          <w:p>
            <w:pPr>
              <w:pStyle w:val="TableContents"/>
              <w:bidi w:val="0"/>
              <w:spacing w:before="0" w:after="283"/>
              <w:jc w:val="left"/>
              <w:rPr/>
            </w:pPr>
            <w:r>
              <w:rPr/>
              <w:t> </w:t>
            </w:r>
          </w:p>
        </w:tc>
        <w:tc>
          <w:tcPr>
            <w:tcW w:w="277" w:type="dxa"/>
            <w:tcBorders>
              <w:bottom w:val="single" w:sz="8" w:space="0" w:color="1070B8"/>
              <w:right w:val="single" w:sz="6" w:space="0" w:color="000000"/>
            </w:tcBorders>
            <w:tcMar>
              <w:bottom w:w="28" w:type="dxa"/>
              <w:right w:w="40" w:type="dxa"/>
            </w:tcMar>
            <w:vAlign w:val="center"/>
          </w:tcPr>
          <w:p>
            <w:pPr>
              <w:pStyle w:val="TableContents"/>
              <w:bidi w:val="0"/>
              <w:spacing w:before="0" w:after="283"/>
              <w:jc w:val="center"/>
              <w:rPr>
                <w:color w:val="1F295C"/>
              </w:rPr>
            </w:pPr>
            <w:r>
              <w:rPr>
                <w:color w:val="1F295C"/>
              </w:rPr>
              <w:t>●</w:t>
            </w:r>
          </w:p>
        </w:tc>
      </w:tr>
    </w:tbl>
    <w:p>
      <w:pPr>
        <w:pStyle w:val="TextBody"/>
        <w:bidi w:val="0"/>
        <w:spacing w:before="240" w:after="0"/>
        <w:jc w:val="left"/>
        <w:rPr>
          <w:rFonts w:ascii="arial" w:hAnsi="arial"/>
          <w:sz w:val="20"/>
        </w:rPr>
      </w:pPr>
      <w:r>
        <w:rPr>
          <w:rFonts w:ascii="arial" w:hAnsi="arial"/>
          <w:sz w:val="20"/>
        </w:rPr>
        <w:t xml:space="preserve">The NCG Committee also considers whether a director candidate meets applicable criteria for independence and whether the individual will enhance the diversity of views and experiences available to the Board in its deliberations. If the nominee is a current director, the NCG Committee takes into account the director’s individual contributions to the Board, the director’s ability to work collaboratively and the effectiveness of the Board as a whole. No specific weight is assigned to any particular factor and, depending on the current and anticipated needs of the Board, some factors may weigh more or less heavily.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1 – Election of Directors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16" w:name="toc849638_17"/>
      <w:bookmarkEnd w:id="16"/>
      <w:r>
        <w:rPr>
          <w:rFonts w:ascii="arial" w:hAnsi="arial"/>
          <w:b/>
          <w:color w:val="1F295C"/>
          <w:sz w:val="24"/>
        </w:rPr>
        <w:t xml:space="preserve">Board Composition </w:t>
      </w:r>
    </w:p>
    <w:p>
      <w:pPr>
        <w:pStyle w:val="TextBody"/>
        <w:bidi w:val="0"/>
        <w:spacing w:before="280" w:after="0"/>
        <w:jc w:val="left"/>
        <w:rPr>
          <w:rFonts w:ascii="arial" w:hAnsi="arial"/>
          <w:sz w:val="20"/>
        </w:rPr>
      </w:pPr>
      <w:r>
        <w:rPr>
          <w:rFonts w:ascii="arial" w:hAnsi="arial"/>
          <w:sz w:val="20"/>
        </w:rPr>
        <w:t xml:space="preserve">In addition to the skills and expertise described above, the NCG Committee also seeks a broad spectrum of age, gender and race and ethnicity among members of the Board. The Board is expected to represent a range of backgrounds and experience. The NCG Committee and the Board believe that these considerations are consistent with creating a Board that best serves the Company, our stockholders, our employees and our communities. The NCG Committee believes that our director nominees and continuing directors exhibit commitment to long-term value creation for our stockholders, outstanding personal and professional ethics, sound business judgment, strategic vision, leadership experience and an appreciation of different perspectives. </w:t>
      </w:r>
    </w:p>
    <w:p>
      <w:pPr>
        <w:pStyle w:val="TextBody"/>
        <w:bidi w:val="0"/>
        <w:spacing w:before="0" w:after="0"/>
        <w:jc w:val="left"/>
        <w:rPr/>
      </w:pPr>
      <w:r>
        <w:rPr/>
        <w:t> </w:t>
      </w:r>
    </w:p>
    <w:tbl>
      <w:tblPr>
        <w:tblW w:w="8937" w:type="dxa"/>
        <w:jc w:val="left"/>
        <w:tblInd w:w="0" w:type="dxa"/>
        <w:tblLayout w:type="fixed"/>
        <w:tblCellMar>
          <w:top w:w="0" w:type="dxa"/>
          <w:left w:w="0" w:type="dxa"/>
          <w:bottom w:w="0" w:type="dxa"/>
          <w:right w:w="0" w:type="dxa"/>
        </w:tblCellMar>
      </w:tblPr>
      <w:tblGrid>
        <w:gridCol w:w="2640"/>
        <w:gridCol w:w="153"/>
        <w:gridCol w:w="556"/>
        <w:gridCol w:w="60"/>
        <w:gridCol w:w="120"/>
        <w:gridCol w:w="60"/>
        <w:gridCol w:w="1959"/>
        <w:gridCol w:w="103"/>
        <w:gridCol w:w="372"/>
        <w:gridCol w:w="60"/>
        <w:gridCol w:w="120"/>
        <w:gridCol w:w="60"/>
        <w:gridCol w:w="764"/>
        <w:gridCol w:w="70"/>
        <w:gridCol w:w="1840"/>
      </w:tblGrid>
      <w:tr>
        <w:trPr/>
        <w:tc>
          <w:tcPr>
            <w:tcW w:w="264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2640" w:type="dxa"/>
            <w:tcBorders/>
            <w:shd w:fill="1070B8" w:val="clear"/>
            <w:vAlign w:val="center"/>
          </w:tcPr>
          <w:p>
            <w:pPr>
              <w:pStyle w:val="TableContents"/>
              <w:bidi w:val="0"/>
              <w:spacing w:before="0" w:after="283"/>
              <w:jc w:val="left"/>
              <w:rPr>
                <w:sz w:val="4"/>
                <w:szCs w:val="4"/>
              </w:rPr>
            </w:pPr>
            <w:r>
              <w:rPr>
                <w:sz w:val="4"/>
                <w:szCs w:val="4"/>
              </w:rPr>
            </w:r>
          </w:p>
        </w:tc>
        <w:tc>
          <w:tcPr>
            <w:tcW w:w="153" w:type="dxa"/>
            <w:tcBorders/>
            <w:shd w:fill="1070B8" w:val="clear"/>
            <w:vAlign w:val="center"/>
          </w:tcPr>
          <w:p>
            <w:pPr>
              <w:pStyle w:val="TableContents"/>
              <w:bidi w:val="0"/>
              <w:spacing w:before="0" w:after="283"/>
              <w:jc w:val="left"/>
              <w:rPr/>
            </w:pPr>
            <w:r>
              <w:rPr/>
              <w:t> </w:t>
            </w:r>
          </w:p>
        </w:tc>
        <w:tc>
          <w:tcPr>
            <w:tcW w:w="556"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120"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1959" w:type="dxa"/>
            <w:tcBorders/>
            <w:shd w:fill="1070B8" w:val="clear"/>
            <w:vAlign w:val="center"/>
          </w:tcPr>
          <w:p>
            <w:pPr>
              <w:pStyle w:val="TableContents"/>
              <w:bidi w:val="0"/>
              <w:spacing w:before="0" w:after="283"/>
              <w:jc w:val="left"/>
              <w:rPr>
                <w:sz w:val="4"/>
                <w:szCs w:val="4"/>
              </w:rPr>
            </w:pPr>
            <w:r>
              <w:rPr>
                <w:sz w:val="4"/>
                <w:szCs w:val="4"/>
              </w:rPr>
            </w:r>
          </w:p>
        </w:tc>
        <w:tc>
          <w:tcPr>
            <w:tcW w:w="103" w:type="dxa"/>
            <w:tcBorders/>
            <w:shd w:fill="1070B8" w:val="clear"/>
            <w:vAlign w:val="center"/>
          </w:tcPr>
          <w:p>
            <w:pPr>
              <w:pStyle w:val="TableContents"/>
              <w:bidi w:val="0"/>
              <w:spacing w:before="0" w:after="283"/>
              <w:jc w:val="left"/>
              <w:rPr/>
            </w:pPr>
            <w:r>
              <w:rPr/>
              <w:t> </w:t>
            </w:r>
          </w:p>
        </w:tc>
        <w:tc>
          <w:tcPr>
            <w:tcW w:w="372"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120"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764" w:type="dxa"/>
            <w:tcBorders/>
            <w:shd w:fill="1070B8" w:val="clear"/>
            <w:vAlign w:val="center"/>
          </w:tcPr>
          <w:p>
            <w:pPr>
              <w:pStyle w:val="TableContents"/>
              <w:bidi w:val="0"/>
              <w:spacing w:before="0" w:after="283"/>
              <w:jc w:val="left"/>
              <w:rPr>
                <w:sz w:val="4"/>
                <w:szCs w:val="4"/>
              </w:rPr>
            </w:pPr>
            <w:r>
              <w:rPr>
                <w:sz w:val="4"/>
                <w:szCs w:val="4"/>
              </w:rPr>
            </w:r>
          </w:p>
        </w:tc>
        <w:tc>
          <w:tcPr>
            <w:tcW w:w="70" w:type="dxa"/>
            <w:tcBorders/>
            <w:shd w:fill="1070B8" w:val="clear"/>
            <w:vAlign w:val="center"/>
          </w:tcPr>
          <w:p>
            <w:pPr>
              <w:pStyle w:val="TableContents"/>
              <w:bidi w:val="0"/>
              <w:spacing w:before="0" w:after="283"/>
              <w:jc w:val="left"/>
              <w:rPr/>
            </w:pPr>
            <w:r>
              <w:rPr/>
              <w:t> </w:t>
            </w:r>
          </w:p>
        </w:tc>
        <w:tc>
          <w:tcPr>
            <w:tcW w:w="1840" w:type="dxa"/>
            <w:tcBorders/>
            <w:shd w:fill="1070B8" w:val="clear"/>
            <w:vAlign w:val="center"/>
          </w:tcPr>
          <w:p>
            <w:pPr>
              <w:pStyle w:val="TableContents"/>
              <w:bidi w:val="0"/>
              <w:spacing w:before="0" w:after="283"/>
              <w:jc w:val="left"/>
              <w:rPr>
                <w:sz w:val="4"/>
                <w:szCs w:val="4"/>
              </w:rPr>
            </w:pPr>
            <w:r>
              <w:rPr>
                <w:sz w:val="4"/>
                <w:szCs w:val="4"/>
              </w:rPr>
            </w:r>
          </w:p>
        </w:tc>
      </w:tr>
      <w:tr>
        <w:trPr/>
        <w:tc>
          <w:tcPr>
            <w:tcW w:w="2640" w:type="dxa"/>
            <w:vMerge w:val="restart"/>
            <w:tcBorders/>
            <w:shd w:fill="1070B8" w:val="clear"/>
            <w:vAlign w:val="center"/>
          </w:tcPr>
          <w:p>
            <w:pPr>
              <w:pStyle w:val="TableContents"/>
              <w:bidi w:val="0"/>
              <w:spacing w:before="0" w:after="0"/>
              <w:jc w:val="right"/>
              <w:rPr>
                <w:color w:val="FFFFFF"/>
              </w:rPr>
            </w:pPr>
            <w:r>
              <w:rPr>
                <w:color w:val="FFFFFF"/>
              </w:rPr>
              <w:t>      </w:t>
            </w:r>
            <w:r>
              <w:rPr>
                <w:rFonts w:ascii="arial" w:hAnsi="arial"/>
                <w:color w:val="FFFFFF"/>
                <w:sz w:val="56"/>
              </w:rPr>
              <w:t>78</w:t>
            </w:r>
          </w:p>
        </w:tc>
        <w:tc>
          <w:tcPr>
            <w:tcW w:w="153" w:type="dxa"/>
            <w:tcBorders/>
            <w:shd w:fill="1070B8" w:val="clear"/>
            <w:vAlign w:val="center"/>
          </w:tcPr>
          <w:p>
            <w:pPr>
              <w:pStyle w:val="TableContents"/>
              <w:bidi w:val="0"/>
              <w:spacing w:before="0" w:after="283"/>
              <w:jc w:val="left"/>
              <w:rPr/>
            </w:pPr>
            <w:r>
              <w:rPr/>
              <w:t> </w:t>
            </w:r>
          </w:p>
        </w:tc>
        <w:tc>
          <w:tcPr>
            <w:tcW w:w="556" w:type="dxa"/>
            <w:tcBorders/>
            <w:shd w:fill="1070B8" w:val="clear"/>
            <w:vAlign w:val="center"/>
          </w:tcPr>
          <w:p>
            <w:pPr>
              <w:pStyle w:val="TableContents"/>
              <w:bidi w:val="0"/>
              <w:spacing w:before="0" w:after="283"/>
              <w:jc w:val="left"/>
              <w:rPr>
                <w:color w:val="FFFFFF"/>
              </w:rPr>
            </w:pPr>
            <w:r>
              <w:rPr>
                <w:color w:val="FFFFFF"/>
              </w:rPr>
              <w:t>%</w:t>
            </w:r>
          </w:p>
        </w:tc>
        <w:tc>
          <w:tcPr>
            <w:tcW w:w="60" w:type="dxa"/>
            <w:tcBorders/>
            <w:shd w:fill="1070B8" w:val="clear"/>
            <w:vAlign w:val="center"/>
          </w:tcPr>
          <w:p>
            <w:pPr>
              <w:pStyle w:val="TableContents"/>
              <w:bidi w:val="0"/>
              <w:spacing w:before="0" w:after="283"/>
              <w:jc w:val="left"/>
              <w:rPr/>
            </w:pPr>
            <w:r>
              <w:rPr/>
              <w:t> </w:t>
            </w:r>
          </w:p>
        </w:tc>
        <w:tc>
          <w:tcPr>
            <w:tcW w:w="120" w:type="dxa"/>
            <w:tcBorders>
              <w:right w:val="single" w:sz="6" w:space="0" w:color="FFFFFF"/>
            </w:tcBorders>
            <w:shd w:fill="1070B8" w:val="clear"/>
            <w:tcMar>
              <w:right w:w="28" w:type="dxa"/>
            </w:tcMar>
            <w:vAlign w:val="center"/>
          </w:tcPr>
          <w:p>
            <w:pPr>
              <w:pStyle w:val="TableContents"/>
              <w:bidi w:val="0"/>
              <w:spacing w:before="0" w:after="283"/>
              <w:jc w:val="left"/>
              <w:rPr/>
            </w:pPr>
            <w:r>
              <w:rPr/>
              <w:t> </w:t>
            </w:r>
          </w:p>
        </w:tc>
        <w:tc>
          <w:tcPr>
            <w:tcW w:w="60" w:type="dxa"/>
            <w:vMerge w:val="restart"/>
            <w:tcBorders/>
            <w:shd w:fill="1070B8" w:val="clear"/>
            <w:vAlign w:val="center"/>
          </w:tcPr>
          <w:p>
            <w:pPr>
              <w:pStyle w:val="TableContents"/>
              <w:bidi w:val="0"/>
              <w:spacing w:before="0" w:after="283"/>
              <w:jc w:val="left"/>
              <w:rPr/>
            </w:pPr>
            <w:r>
              <w:rPr/>
              <w:t> </w:t>
            </w:r>
          </w:p>
        </w:tc>
        <w:tc>
          <w:tcPr>
            <w:tcW w:w="1959" w:type="dxa"/>
            <w:vMerge w:val="restart"/>
            <w:tcBorders/>
            <w:shd w:fill="1070B8" w:val="clear"/>
            <w:vAlign w:val="center"/>
          </w:tcPr>
          <w:p>
            <w:pPr>
              <w:pStyle w:val="TableContents"/>
              <w:bidi w:val="0"/>
              <w:spacing w:before="0" w:after="0"/>
              <w:jc w:val="right"/>
              <w:rPr>
                <w:color w:val="FFFFFF"/>
              </w:rPr>
            </w:pPr>
            <w:r>
              <w:rPr>
                <w:color w:val="FFFFFF"/>
              </w:rPr>
              <w:t>        </w:t>
            </w:r>
            <w:r>
              <w:rPr>
                <w:rFonts w:ascii="arial" w:hAnsi="arial"/>
                <w:color w:val="FFFFFF"/>
                <w:sz w:val="56"/>
              </w:rPr>
              <w:t>67</w:t>
            </w:r>
          </w:p>
        </w:tc>
        <w:tc>
          <w:tcPr>
            <w:tcW w:w="103" w:type="dxa"/>
            <w:tcBorders/>
            <w:shd w:fill="1070B8" w:val="clear"/>
            <w:vAlign w:val="center"/>
          </w:tcPr>
          <w:p>
            <w:pPr>
              <w:pStyle w:val="TableContents"/>
              <w:bidi w:val="0"/>
              <w:spacing w:before="0" w:after="283"/>
              <w:jc w:val="left"/>
              <w:rPr/>
            </w:pPr>
            <w:r>
              <w:rPr/>
              <w:t> </w:t>
            </w:r>
          </w:p>
        </w:tc>
        <w:tc>
          <w:tcPr>
            <w:tcW w:w="372" w:type="dxa"/>
            <w:tcBorders/>
            <w:shd w:fill="1070B8" w:val="clear"/>
            <w:vAlign w:val="center"/>
          </w:tcPr>
          <w:p>
            <w:pPr>
              <w:pStyle w:val="TableContents"/>
              <w:bidi w:val="0"/>
              <w:spacing w:before="0" w:after="283"/>
              <w:jc w:val="left"/>
              <w:rPr>
                <w:color w:val="FFFFFF"/>
              </w:rPr>
            </w:pPr>
            <w:r>
              <w:rPr>
                <w:color w:val="FFFFFF"/>
              </w:rPr>
              <w:t>%</w:t>
            </w:r>
          </w:p>
        </w:tc>
        <w:tc>
          <w:tcPr>
            <w:tcW w:w="60" w:type="dxa"/>
            <w:tcBorders/>
            <w:shd w:fill="1070B8" w:val="clear"/>
            <w:vAlign w:val="center"/>
          </w:tcPr>
          <w:p>
            <w:pPr>
              <w:pStyle w:val="TableContents"/>
              <w:bidi w:val="0"/>
              <w:spacing w:before="0" w:after="283"/>
              <w:jc w:val="left"/>
              <w:rPr/>
            </w:pPr>
            <w:r>
              <w:rPr/>
              <w:t> </w:t>
            </w:r>
          </w:p>
        </w:tc>
        <w:tc>
          <w:tcPr>
            <w:tcW w:w="120" w:type="dxa"/>
            <w:tcBorders>
              <w:right w:val="single" w:sz="6" w:space="0" w:color="FFFFFF"/>
            </w:tcBorders>
            <w:shd w:fill="1070B8" w:val="clear"/>
            <w:tcMar>
              <w:right w:w="28" w:type="dxa"/>
            </w:tcMar>
            <w:vAlign w:val="center"/>
          </w:tcPr>
          <w:p>
            <w:pPr>
              <w:pStyle w:val="TableContents"/>
              <w:bidi w:val="0"/>
              <w:spacing w:before="0" w:after="283"/>
              <w:jc w:val="left"/>
              <w:rPr/>
            </w:pPr>
            <w:r>
              <w:rPr/>
              <w:t> </w:t>
            </w:r>
          </w:p>
        </w:tc>
        <w:tc>
          <w:tcPr>
            <w:tcW w:w="60" w:type="dxa"/>
            <w:vMerge w:val="restart"/>
            <w:tcBorders/>
            <w:shd w:fill="1070B8" w:val="clear"/>
            <w:vAlign w:val="center"/>
          </w:tcPr>
          <w:p>
            <w:pPr>
              <w:pStyle w:val="TableContents"/>
              <w:bidi w:val="0"/>
              <w:spacing w:before="0" w:after="283"/>
              <w:jc w:val="left"/>
              <w:rPr/>
            </w:pPr>
            <w:r>
              <w:rPr/>
              <w:t> </w:t>
            </w:r>
          </w:p>
        </w:tc>
        <w:tc>
          <w:tcPr>
            <w:tcW w:w="764" w:type="dxa"/>
            <w:vMerge w:val="restart"/>
            <w:tcBorders/>
            <w:shd w:fill="1070B8" w:val="clear"/>
            <w:vAlign w:val="center"/>
          </w:tcPr>
          <w:p>
            <w:pPr>
              <w:pStyle w:val="TableContents"/>
              <w:bidi w:val="0"/>
              <w:spacing w:before="0" w:after="0"/>
              <w:jc w:val="right"/>
              <w:rPr>
                <w:rFonts w:ascii="arial" w:hAnsi="arial"/>
                <w:color w:val="FFFFFF"/>
                <w:sz w:val="56"/>
              </w:rPr>
            </w:pPr>
            <w:r>
              <w:rPr>
                <w:rFonts w:ascii="arial" w:hAnsi="arial"/>
                <w:color w:val="FFFFFF"/>
                <w:sz w:val="56"/>
              </w:rPr>
              <w:t>33</w:t>
            </w:r>
          </w:p>
        </w:tc>
        <w:tc>
          <w:tcPr>
            <w:tcW w:w="70" w:type="dxa"/>
            <w:tcBorders/>
            <w:shd w:fill="1070B8" w:val="clear"/>
            <w:vAlign w:val="center"/>
          </w:tcPr>
          <w:p>
            <w:pPr>
              <w:pStyle w:val="TableContents"/>
              <w:bidi w:val="0"/>
              <w:spacing w:before="0" w:after="283"/>
              <w:jc w:val="left"/>
              <w:rPr/>
            </w:pPr>
            <w:r>
              <w:rPr/>
              <w:t> </w:t>
            </w:r>
          </w:p>
        </w:tc>
        <w:tc>
          <w:tcPr>
            <w:tcW w:w="1840" w:type="dxa"/>
            <w:tcBorders/>
            <w:shd w:fill="1070B8" w:val="clear"/>
            <w:vAlign w:val="center"/>
          </w:tcPr>
          <w:p>
            <w:pPr>
              <w:pStyle w:val="TableContents"/>
              <w:bidi w:val="0"/>
              <w:spacing w:before="0" w:after="283"/>
              <w:jc w:val="left"/>
              <w:rPr>
                <w:color w:val="FFFFFF"/>
              </w:rPr>
            </w:pPr>
            <w:r>
              <w:rPr>
                <w:color w:val="FFFFFF"/>
              </w:rPr>
              <w:t>%</w:t>
            </w:r>
          </w:p>
        </w:tc>
      </w:tr>
      <w:tr>
        <w:trPr/>
        <w:tc>
          <w:tcPr>
            <w:tcW w:w="2640" w:type="dxa"/>
            <w:vMerge w:val="continue"/>
            <w:tcBorders/>
            <w:shd w:fill="1070B8" w:val="clear"/>
            <w:vAlign w:val="center"/>
          </w:tcPr>
          <w:p>
            <w:pPr>
              <w:pStyle w:val="Normal"/>
              <w:bidi w:val="0"/>
              <w:jc w:val="left"/>
              <w:rPr/>
            </w:pPr>
            <w:r>
              <w:rPr/>
            </w:r>
          </w:p>
        </w:tc>
        <w:tc>
          <w:tcPr>
            <w:tcW w:w="153" w:type="dxa"/>
            <w:tcBorders/>
            <w:shd w:fill="1070B8" w:val="clear"/>
            <w:vAlign w:val="center"/>
          </w:tcPr>
          <w:p>
            <w:pPr>
              <w:pStyle w:val="TableContents"/>
              <w:bidi w:val="0"/>
              <w:spacing w:before="0" w:after="283"/>
              <w:jc w:val="left"/>
              <w:rPr/>
            </w:pPr>
            <w:r>
              <w:rPr/>
              <w:t> </w:t>
            </w:r>
          </w:p>
        </w:tc>
        <w:tc>
          <w:tcPr>
            <w:tcW w:w="556" w:type="dxa"/>
            <w:tcBorders/>
            <w:shd w:fill="1070B8"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FFFFFF"/>
                <w:sz w:val="14"/>
              </w:rPr>
            </w:pPr>
            <w:r>
              <w:rPr>
                <w:rFonts w:ascii="arial" w:hAnsi="arial"/>
                <w:color w:val="FFFFFF"/>
                <w:sz w:val="14"/>
              </w:rPr>
              <w:t>OF</w:t>
            </w:r>
          </w:p>
        </w:tc>
        <w:tc>
          <w:tcPr>
            <w:tcW w:w="60" w:type="dxa"/>
            <w:tcBorders/>
            <w:shd w:fill="1070B8" w:val="clear"/>
            <w:vAlign w:val="center"/>
          </w:tcPr>
          <w:p>
            <w:pPr>
              <w:pStyle w:val="TableContents"/>
              <w:bidi w:val="0"/>
              <w:spacing w:before="0" w:after="283"/>
              <w:jc w:val="left"/>
              <w:rPr/>
            </w:pPr>
            <w:r>
              <w:rPr/>
              <w:t> </w:t>
            </w:r>
          </w:p>
        </w:tc>
        <w:tc>
          <w:tcPr>
            <w:tcW w:w="120" w:type="dxa"/>
            <w:tcBorders>
              <w:right w:val="single" w:sz="6" w:space="0" w:color="FFFFFF"/>
            </w:tcBorders>
            <w:shd w:fill="1070B8" w:val="clear"/>
            <w:tcMar>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vMerge w:val="continue"/>
            <w:tcBorders/>
            <w:shd w:fill="1070B8" w:val="clear"/>
            <w:vAlign w:val="center"/>
          </w:tcPr>
          <w:p>
            <w:pPr>
              <w:pStyle w:val="Normal"/>
              <w:bidi w:val="0"/>
              <w:jc w:val="left"/>
              <w:rPr/>
            </w:pPr>
            <w:r>
              <w:rPr/>
            </w:r>
          </w:p>
        </w:tc>
        <w:tc>
          <w:tcPr>
            <w:tcW w:w="1959" w:type="dxa"/>
            <w:vMerge w:val="continue"/>
            <w:tcBorders/>
            <w:shd w:fill="1070B8" w:val="clear"/>
            <w:vAlign w:val="center"/>
          </w:tcPr>
          <w:p>
            <w:pPr>
              <w:pStyle w:val="Normal"/>
              <w:bidi w:val="0"/>
              <w:jc w:val="left"/>
              <w:rPr/>
            </w:pPr>
            <w:r>
              <w:rPr/>
            </w:r>
          </w:p>
        </w:tc>
        <w:tc>
          <w:tcPr>
            <w:tcW w:w="103" w:type="dxa"/>
            <w:tcBorders/>
            <w:shd w:fill="1070B8" w:val="clear"/>
            <w:vAlign w:val="center"/>
          </w:tcPr>
          <w:p>
            <w:pPr>
              <w:pStyle w:val="TableContents"/>
              <w:bidi w:val="0"/>
              <w:spacing w:before="0" w:after="283"/>
              <w:jc w:val="left"/>
              <w:rPr/>
            </w:pPr>
            <w:r>
              <w:rPr/>
              <w:t> </w:t>
            </w:r>
          </w:p>
        </w:tc>
        <w:tc>
          <w:tcPr>
            <w:tcW w:w="372" w:type="dxa"/>
            <w:tcBorders/>
            <w:shd w:fill="1070B8"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FFFFFF"/>
                <w:sz w:val="14"/>
              </w:rPr>
            </w:pPr>
            <w:r>
              <w:rPr>
                <w:rFonts w:ascii="arial" w:hAnsi="arial"/>
                <w:color w:val="FFFFFF"/>
                <w:sz w:val="14"/>
              </w:rPr>
              <w:t>OF</w:t>
            </w:r>
          </w:p>
        </w:tc>
        <w:tc>
          <w:tcPr>
            <w:tcW w:w="60" w:type="dxa"/>
            <w:tcBorders/>
            <w:shd w:fill="1070B8" w:val="clear"/>
            <w:vAlign w:val="center"/>
          </w:tcPr>
          <w:p>
            <w:pPr>
              <w:pStyle w:val="TableContents"/>
              <w:bidi w:val="0"/>
              <w:spacing w:before="0" w:after="283"/>
              <w:jc w:val="left"/>
              <w:rPr/>
            </w:pPr>
            <w:r>
              <w:rPr/>
              <w:t> </w:t>
            </w:r>
          </w:p>
        </w:tc>
        <w:tc>
          <w:tcPr>
            <w:tcW w:w="120" w:type="dxa"/>
            <w:tcBorders>
              <w:right w:val="single" w:sz="6" w:space="0" w:color="FFFFFF"/>
            </w:tcBorders>
            <w:shd w:fill="1070B8" w:val="clear"/>
            <w:tcMar>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vMerge w:val="continue"/>
            <w:tcBorders/>
            <w:shd w:fill="1070B8" w:val="clear"/>
            <w:vAlign w:val="center"/>
          </w:tcPr>
          <w:p>
            <w:pPr>
              <w:pStyle w:val="Normal"/>
              <w:bidi w:val="0"/>
              <w:jc w:val="left"/>
              <w:rPr/>
            </w:pPr>
            <w:r>
              <w:rPr/>
            </w:r>
          </w:p>
        </w:tc>
        <w:tc>
          <w:tcPr>
            <w:tcW w:w="764" w:type="dxa"/>
            <w:vMerge w:val="continue"/>
            <w:tcBorders/>
            <w:shd w:fill="1070B8" w:val="clear"/>
            <w:vAlign w:val="center"/>
          </w:tcPr>
          <w:p>
            <w:pPr>
              <w:pStyle w:val="Normal"/>
              <w:bidi w:val="0"/>
              <w:jc w:val="left"/>
              <w:rPr/>
            </w:pPr>
            <w:r>
              <w:rPr/>
            </w:r>
          </w:p>
        </w:tc>
        <w:tc>
          <w:tcPr>
            <w:tcW w:w="70" w:type="dxa"/>
            <w:tcBorders/>
            <w:shd w:fill="1070B8" w:val="clear"/>
            <w:vAlign w:val="center"/>
          </w:tcPr>
          <w:p>
            <w:pPr>
              <w:pStyle w:val="TableContents"/>
              <w:bidi w:val="0"/>
              <w:spacing w:before="0" w:after="283"/>
              <w:jc w:val="left"/>
              <w:rPr/>
            </w:pPr>
            <w:r>
              <w:rPr/>
              <w:t> </w:t>
            </w:r>
          </w:p>
        </w:tc>
        <w:tc>
          <w:tcPr>
            <w:tcW w:w="1840" w:type="dxa"/>
            <w:tcBorders/>
            <w:shd w:fill="1070B8"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FFFFFF"/>
                <w:sz w:val="14"/>
              </w:rPr>
            </w:pPr>
            <w:r>
              <w:rPr>
                <w:rFonts w:ascii="arial" w:hAnsi="arial"/>
                <w:color w:val="FFFFFF"/>
                <w:sz w:val="14"/>
              </w:rPr>
              <w:t>OF          </w:t>
            </w:r>
          </w:p>
        </w:tc>
      </w:tr>
      <w:tr>
        <w:trPr/>
        <w:tc>
          <w:tcPr>
            <w:tcW w:w="3349" w:type="dxa"/>
            <w:gridSpan w:val="3"/>
            <w:tcBorders/>
            <w:shd w:fill="1070B8" w:val="clear"/>
            <w:vAlign w:val="center"/>
          </w:tcPr>
          <w:p>
            <w:pPr>
              <w:pStyle w:val="TableContents"/>
              <w:bidi w:val="0"/>
              <w:spacing w:before="0" w:after="0"/>
              <w:jc w:val="center"/>
              <w:rPr>
                <w:rFonts w:ascii="ARIAL" w:hAnsi="ARIAL"/>
                <w:color w:val="FFFFFF"/>
                <w:sz w:val="14"/>
              </w:rPr>
            </w:pPr>
            <w:r>
              <w:rPr>
                <w:rFonts w:ascii="ARIAL" w:hAnsi="ARIAL"/>
                <w:color w:val="FFFFFF"/>
                <w:sz w:val="14"/>
              </w:rPr>
              <w:t>BOARD MEMBERS ARE</w:t>
            </w:r>
          </w:p>
          <w:p>
            <w:pPr>
              <w:pStyle w:val="TableContents"/>
              <w:bidi w:val="0"/>
              <w:spacing w:before="0" w:after="0"/>
              <w:jc w:val="center"/>
              <w:rPr>
                <w:rFonts w:ascii="ARIAL" w:hAnsi="ARIAL"/>
                <w:b/>
                <w:color w:val="FFFFFF"/>
                <w:sz w:val="28"/>
              </w:rPr>
            </w:pPr>
            <w:r>
              <w:rPr>
                <w:rFonts w:ascii="ARIAL" w:hAnsi="ARIAL"/>
                <w:b/>
                <w:color w:val="FFFFFF"/>
                <w:sz w:val="28"/>
              </w:rPr>
              <w:t>INDEPENDENT</w:t>
            </w:r>
          </w:p>
          <w:p>
            <w:pPr>
              <w:pStyle w:val="TableContents"/>
              <w:bidi w:val="0"/>
              <w:spacing w:before="0" w:after="0"/>
              <w:jc w:val="center"/>
              <w:rPr>
                <w:rFonts w:ascii="ARIAL" w:hAnsi="ARIAL"/>
                <w:color w:val="FFFFFF"/>
                <w:sz w:val="14"/>
              </w:rPr>
            </w:pPr>
            <w:r>
              <w:rPr>
                <w:rFonts w:ascii="ARIAL" w:hAnsi="ARIAL"/>
                <w:color w:val="FFFFFF"/>
                <w:sz w:val="14"/>
              </w:rPr>
              <w:t>Seven Independent</w:t>
            </w:r>
          </w:p>
          <w:p>
            <w:pPr>
              <w:pStyle w:val="TableContents"/>
              <w:bidi w:val="0"/>
              <w:spacing w:before="0" w:after="20"/>
              <w:jc w:val="center"/>
              <w:rPr>
                <w:rFonts w:ascii="ARIAL" w:hAnsi="ARIAL"/>
                <w:color w:val="FFFFFF"/>
                <w:sz w:val="14"/>
              </w:rPr>
            </w:pPr>
            <w:r>
              <w:rPr>
                <w:rFonts w:ascii="ARIAL" w:hAnsi="ARIAL"/>
                <w:color w:val="FFFFFF"/>
                <w:sz w:val="14"/>
              </w:rPr>
              <w:t>Two Non-Independent</w:t>
            </w:r>
          </w:p>
        </w:tc>
        <w:tc>
          <w:tcPr>
            <w:tcW w:w="60" w:type="dxa"/>
            <w:tcBorders/>
            <w:shd w:fill="1070B8" w:val="clear"/>
            <w:vAlign w:val="center"/>
          </w:tcPr>
          <w:p>
            <w:pPr>
              <w:pStyle w:val="TableContents"/>
              <w:bidi w:val="0"/>
              <w:spacing w:before="0" w:after="283"/>
              <w:jc w:val="left"/>
              <w:rPr/>
            </w:pPr>
            <w:r>
              <w:rPr/>
              <w:t> </w:t>
            </w:r>
          </w:p>
        </w:tc>
        <w:tc>
          <w:tcPr>
            <w:tcW w:w="120" w:type="dxa"/>
            <w:tcBorders>
              <w:right w:val="single" w:sz="6" w:space="0" w:color="FFFFFF"/>
            </w:tcBorders>
            <w:shd w:fill="1070B8" w:val="clear"/>
            <w:tcMar>
              <w:right w:w="28" w:type="dxa"/>
            </w:tcMar>
            <w:vAlign w:val="center"/>
          </w:tcPr>
          <w:p>
            <w:pPr>
              <w:pStyle w:val="TableContents"/>
              <w:bidi w:val="0"/>
              <w:spacing w:before="0" w:after="283"/>
              <w:jc w:val="left"/>
              <w:rPr/>
            </w:pPr>
            <w:r>
              <w:rPr/>
              <w:t>  </w:t>
            </w:r>
          </w:p>
        </w:tc>
        <w:tc>
          <w:tcPr>
            <w:tcW w:w="60" w:type="dxa"/>
            <w:tcBorders/>
            <w:shd w:fill="1070B8" w:val="clear"/>
            <w:vAlign w:val="center"/>
          </w:tcPr>
          <w:p>
            <w:pPr>
              <w:pStyle w:val="TableContents"/>
              <w:bidi w:val="0"/>
              <w:spacing w:before="0" w:after="283"/>
              <w:jc w:val="left"/>
              <w:rPr/>
            </w:pPr>
            <w:r>
              <w:rPr/>
              <w:t> </w:t>
            </w:r>
          </w:p>
        </w:tc>
        <w:tc>
          <w:tcPr>
            <w:tcW w:w="2434" w:type="dxa"/>
            <w:gridSpan w:val="3"/>
            <w:tcBorders/>
            <w:shd w:fill="1070B8" w:val="clear"/>
            <w:vAlign w:val="center"/>
          </w:tcPr>
          <w:p>
            <w:pPr>
              <w:pStyle w:val="TableContents"/>
              <w:bidi w:val="0"/>
              <w:spacing w:before="0" w:after="0"/>
              <w:jc w:val="center"/>
              <w:rPr>
                <w:rFonts w:ascii="ARIAL" w:hAnsi="ARIAL"/>
                <w:color w:val="FFFFFF"/>
                <w:sz w:val="14"/>
              </w:rPr>
            </w:pPr>
            <w:r>
              <w:rPr>
                <w:rFonts w:ascii="ARIAL" w:hAnsi="ARIAL"/>
                <w:color w:val="FFFFFF"/>
                <w:sz w:val="14"/>
              </w:rPr>
              <w:t>COMMITTEE CHAIRS ARE</w:t>
            </w:r>
          </w:p>
          <w:p>
            <w:pPr>
              <w:pStyle w:val="TableContents"/>
              <w:bidi w:val="0"/>
              <w:spacing w:before="0" w:after="0"/>
              <w:jc w:val="center"/>
              <w:rPr>
                <w:rFonts w:ascii="ARIAL" w:hAnsi="ARIAL"/>
                <w:b/>
                <w:color w:val="FFFFFF"/>
                <w:sz w:val="28"/>
              </w:rPr>
            </w:pPr>
            <w:r>
              <w:rPr>
                <w:rFonts w:ascii="ARIAL" w:hAnsi="ARIAL"/>
                <w:b/>
                <w:color w:val="FFFFFF"/>
                <w:sz w:val="28"/>
              </w:rPr>
              <w:t>WOMEN</w:t>
            </w:r>
          </w:p>
          <w:p>
            <w:pPr>
              <w:pStyle w:val="TableContents"/>
              <w:bidi w:val="0"/>
              <w:spacing w:before="0" w:after="0"/>
              <w:jc w:val="center"/>
              <w:rPr>
                <w:rFonts w:ascii="ARIAL" w:hAnsi="ARIAL"/>
                <w:color w:val="FFFFFF"/>
                <w:sz w:val="14"/>
              </w:rPr>
            </w:pPr>
            <w:r>
              <w:rPr>
                <w:rFonts w:ascii="ARIAL" w:hAnsi="ARIAL"/>
                <w:color w:val="FFFFFF"/>
                <w:sz w:val="14"/>
              </w:rPr>
              <w:t>Two Women</w:t>
            </w:r>
          </w:p>
          <w:p>
            <w:pPr>
              <w:pStyle w:val="TableContents"/>
              <w:bidi w:val="0"/>
              <w:spacing w:before="0" w:after="20"/>
              <w:jc w:val="center"/>
              <w:rPr>
                <w:rFonts w:ascii="ARIAL" w:hAnsi="ARIAL"/>
                <w:color w:val="FFFFFF"/>
                <w:sz w:val="14"/>
              </w:rPr>
            </w:pPr>
            <w:r>
              <w:rPr>
                <w:rFonts w:ascii="ARIAL" w:hAnsi="ARIAL"/>
                <w:color w:val="FFFFFF"/>
                <w:sz w:val="14"/>
              </w:rPr>
              <w:t>One Man</w:t>
            </w:r>
          </w:p>
        </w:tc>
        <w:tc>
          <w:tcPr>
            <w:tcW w:w="60" w:type="dxa"/>
            <w:tcBorders/>
            <w:shd w:fill="1070B8" w:val="clear"/>
            <w:vAlign w:val="center"/>
          </w:tcPr>
          <w:p>
            <w:pPr>
              <w:pStyle w:val="TableContents"/>
              <w:bidi w:val="0"/>
              <w:spacing w:before="0" w:after="283"/>
              <w:jc w:val="left"/>
              <w:rPr/>
            </w:pPr>
            <w:r>
              <w:rPr/>
              <w:t> </w:t>
            </w:r>
          </w:p>
        </w:tc>
        <w:tc>
          <w:tcPr>
            <w:tcW w:w="120" w:type="dxa"/>
            <w:tcBorders>
              <w:right w:val="single" w:sz="6" w:space="0" w:color="FFFFFF"/>
            </w:tcBorders>
            <w:shd w:fill="1070B8" w:val="clear"/>
            <w:tcMar>
              <w:right w:w="28" w:type="dxa"/>
            </w:tcMar>
            <w:vAlign w:val="center"/>
          </w:tcPr>
          <w:p>
            <w:pPr>
              <w:pStyle w:val="TableContents"/>
              <w:bidi w:val="0"/>
              <w:spacing w:before="0" w:after="283"/>
              <w:jc w:val="left"/>
              <w:rPr/>
            </w:pPr>
            <w:r>
              <w:rPr/>
              <w:t>  </w:t>
            </w:r>
          </w:p>
        </w:tc>
        <w:tc>
          <w:tcPr>
            <w:tcW w:w="60" w:type="dxa"/>
            <w:tcBorders/>
            <w:shd w:fill="1070B8" w:val="clear"/>
            <w:vAlign w:val="center"/>
          </w:tcPr>
          <w:p>
            <w:pPr>
              <w:pStyle w:val="TableContents"/>
              <w:bidi w:val="0"/>
              <w:spacing w:before="0" w:after="283"/>
              <w:jc w:val="left"/>
              <w:rPr/>
            </w:pPr>
            <w:r>
              <w:rPr/>
              <w:t> </w:t>
            </w:r>
          </w:p>
        </w:tc>
        <w:tc>
          <w:tcPr>
            <w:tcW w:w="2674" w:type="dxa"/>
            <w:gridSpan w:val="3"/>
            <w:tcBorders/>
            <w:shd w:fill="1070B8" w:val="clear"/>
            <w:vAlign w:val="center"/>
          </w:tcPr>
          <w:p>
            <w:pPr>
              <w:pStyle w:val="TableContents"/>
              <w:bidi w:val="0"/>
              <w:spacing w:before="0" w:after="0"/>
              <w:jc w:val="center"/>
              <w:rPr>
                <w:rFonts w:ascii="ARIAL" w:hAnsi="ARIAL"/>
                <w:color w:val="FFFFFF"/>
                <w:sz w:val="14"/>
              </w:rPr>
            </w:pPr>
            <w:r>
              <w:rPr>
                <w:rFonts w:ascii="ARIAL" w:hAnsi="ARIAL"/>
                <w:color w:val="FFFFFF"/>
                <w:sz w:val="14"/>
              </w:rPr>
              <w:t>BOARD MEMBERS ARE</w:t>
            </w:r>
          </w:p>
          <w:p>
            <w:pPr>
              <w:pStyle w:val="TableContents"/>
              <w:bidi w:val="0"/>
              <w:spacing w:before="0" w:after="0"/>
              <w:jc w:val="center"/>
              <w:rPr>
                <w:rFonts w:ascii="ARIAL" w:hAnsi="ARIAL"/>
                <w:b/>
                <w:color w:val="FFFFFF"/>
                <w:sz w:val="28"/>
              </w:rPr>
            </w:pPr>
            <w:r>
              <w:rPr>
                <w:rFonts w:ascii="ARIAL" w:hAnsi="ARIAL"/>
                <w:b/>
                <w:color w:val="FFFFFF"/>
                <w:sz w:val="28"/>
              </w:rPr>
              <w:t>WOMEN</w:t>
            </w:r>
          </w:p>
          <w:p>
            <w:pPr>
              <w:pStyle w:val="TableContents"/>
              <w:bidi w:val="0"/>
              <w:spacing w:before="0" w:after="0"/>
              <w:jc w:val="center"/>
              <w:rPr>
                <w:rFonts w:ascii="ARIAL" w:hAnsi="ARIAL"/>
                <w:color w:val="FFFFFF"/>
                <w:sz w:val="14"/>
              </w:rPr>
            </w:pPr>
            <w:r>
              <w:rPr>
                <w:rFonts w:ascii="ARIAL" w:hAnsi="ARIAL"/>
                <w:color w:val="FFFFFF"/>
                <w:sz w:val="14"/>
              </w:rPr>
              <w:t>Three Women</w:t>
            </w:r>
          </w:p>
          <w:p>
            <w:pPr>
              <w:pStyle w:val="TableContents"/>
              <w:bidi w:val="0"/>
              <w:spacing w:before="0" w:after="20"/>
              <w:jc w:val="center"/>
              <w:rPr>
                <w:rFonts w:ascii="ARIAL" w:hAnsi="ARIAL"/>
                <w:color w:val="FFFFFF"/>
                <w:sz w:val="14"/>
              </w:rPr>
            </w:pPr>
            <w:r>
              <w:rPr>
                <w:rFonts w:ascii="ARIAL" w:hAnsi="ARIAL"/>
                <w:color w:val="FFFFFF"/>
                <w:sz w:val="14"/>
              </w:rPr>
              <w:t>Six Men</w:t>
            </w:r>
          </w:p>
        </w:tc>
      </w:tr>
      <w:tr>
        <w:trPr/>
        <w:tc>
          <w:tcPr>
            <w:tcW w:w="2640" w:type="dxa"/>
            <w:tcBorders/>
            <w:shd w:fill="1070B8" w:val="clear"/>
            <w:vAlign w:val="center"/>
          </w:tcPr>
          <w:p>
            <w:pPr>
              <w:pStyle w:val="TableContents"/>
              <w:bidi w:val="0"/>
              <w:spacing w:before="0" w:after="283"/>
              <w:jc w:val="left"/>
              <w:rPr>
                <w:sz w:val="4"/>
                <w:szCs w:val="4"/>
              </w:rPr>
            </w:pPr>
            <w:r>
              <w:rPr>
                <w:sz w:val="4"/>
                <w:szCs w:val="4"/>
              </w:rPr>
            </w:r>
          </w:p>
        </w:tc>
        <w:tc>
          <w:tcPr>
            <w:tcW w:w="153" w:type="dxa"/>
            <w:tcBorders/>
            <w:shd w:fill="1070B8" w:val="clear"/>
            <w:vAlign w:val="center"/>
          </w:tcPr>
          <w:p>
            <w:pPr>
              <w:pStyle w:val="TableContents"/>
              <w:bidi w:val="0"/>
              <w:spacing w:before="0" w:after="283"/>
              <w:jc w:val="left"/>
              <w:rPr/>
            </w:pPr>
            <w:r>
              <w:rPr/>
              <w:t> </w:t>
            </w:r>
          </w:p>
        </w:tc>
        <w:tc>
          <w:tcPr>
            <w:tcW w:w="556"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120"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1959" w:type="dxa"/>
            <w:tcBorders/>
            <w:shd w:fill="1070B8" w:val="clear"/>
            <w:vAlign w:val="center"/>
          </w:tcPr>
          <w:p>
            <w:pPr>
              <w:pStyle w:val="TableContents"/>
              <w:bidi w:val="0"/>
              <w:spacing w:before="0" w:after="283"/>
              <w:jc w:val="left"/>
              <w:rPr>
                <w:sz w:val="4"/>
                <w:szCs w:val="4"/>
              </w:rPr>
            </w:pPr>
            <w:r>
              <w:rPr>
                <w:sz w:val="4"/>
                <w:szCs w:val="4"/>
              </w:rPr>
            </w:r>
          </w:p>
        </w:tc>
        <w:tc>
          <w:tcPr>
            <w:tcW w:w="103" w:type="dxa"/>
            <w:tcBorders/>
            <w:shd w:fill="1070B8" w:val="clear"/>
            <w:vAlign w:val="center"/>
          </w:tcPr>
          <w:p>
            <w:pPr>
              <w:pStyle w:val="TableContents"/>
              <w:bidi w:val="0"/>
              <w:spacing w:before="0" w:after="283"/>
              <w:jc w:val="left"/>
              <w:rPr/>
            </w:pPr>
            <w:r>
              <w:rPr/>
              <w:t> </w:t>
            </w:r>
          </w:p>
        </w:tc>
        <w:tc>
          <w:tcPr>
            <w:tcW w:w="372"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120" w:type="dxa"/>
            <w:tcBorders/>
            <w:shd w:fill="1070B8" w:val="clear"/>
            <w:vAlign w:val="center"/>
          </w:tcPr>
          <w:p>
            <w:pPr>
              <w:pStyle w:val="TableContents"/>
              <w:bidi w:val="0"/>
              <w:spacing w:before="0" w:after="283"/>
              <w:jc w:val="left"/>
              <w:rPr>
                <w:sz w:val="4"/>
                <w:szCs w:val="4"/>
              </w:rPr>
            </w:pPr>
            <w:r>
              <w:rPr>
                <w:sz w:val="4"/>
                <w:szCs w:val="4"/>
              </w:rPr>
            </w:r>
          </w:p>
        </w:tc>
        <w:tc>
          <w:tcPr>
            <w:tcW w:w="60" w:type="dxa"/>
            <w:tcBorders/>
            <w:shd w:fill="1070B8" w:val="clear"/>
            <w:vAlign w:val="center"/>
          </w:tcPr>
          <w:p>
            <w:pPr>
              <w:pStyle w:val="TableContents"/>
              <w:bidi w:val="0"/>
              <w:spacing w:before="0" w:after="283"/>
              <w:jc w:val="left"/>
              <w:rPr/>
            </w:pPr>
            <w:r>
              <w:rPr/>
              <w:t> </w:t>
            </w:r>
          </w:p>
        </w:tc>
        <w:tc>
          <w:tcPr>
            <w:tcW w:w="764" w:type="dxa"/>
            <w:tcBorders/>
            <w:shd w:fill="1070B8" w:val="clear"/>
            <w:vAlign w:val="center"/>
          </w:tcPr>
          <w:p>
            <w:pPr>
              <w:pStyle w:val="TableContents"/>
              <w:bidi w:val="0"/>
              <w:spacing w:before="0" w:after="283"/>
              <w:jc w:val="left"/>
              <w:rPr>
                <w:sz w:val="4"/>
                <w:szCs w:val="4"/>
              </w:rPr>
            </w:pPr>
            <w:r>
              <w:rPr>
                <w:sz w:val="4"/>
                <w:szCs w:val="4"/>
              </w:rPr>
            </w:r>
          </w:p>
        </w:tc>
        <w:tc>
          <w:tcPr>
            <w:tcW w:w="70" w:type="dxa"/>
            <w:tcBorders/>
            <w:shd w:fill="1070B8" w:val="clear"/>
            <w:vAlign w:val="center"/>
          </w:tcPr>
          <w:p>
            <w:pPr>
              <w:pStyle w:val="TableContents"/>
              <w:bidi w:val="0"/>
              <w:spacing w:before="0" w:after="283"/>
              <w:jc w:val="left"/>
              <w:rPr/>
            </w:pPr>
            <w:r>
              <w:rPr/>
              <w:t> </w:t>
            </w:r>
          </w:p>
        </w:tc>
        <w:tc>
          <w:tcPr>
            <w:tcW w:w="1840" w:type="dxa"/>
            <w:tcBorders/>
            <w:shd w:fill="1070B8" w:val="clear"/>
            <w:vAlign w:val="center"/>
          </w:tcPr>
          <w:p>
            <w:pPr>
              <w:pStyle w:val="TableContents"/>
              <w:bidi w:val="0"/>
              <w:spacing w:before="0" w:after="283"/>
              <w:jc w:val="left"/>
              <w:rPr>
                <w:sz w:val="4"/>
                <w:szCs w:val="4"/>
              </w:rPr>
            </w:pPr>
            <w:r>
              <w:rPr>
                <w:sz w:val="4"/>
                <w:szCs w:val="4"/>
              </w:rPr>
            </w:r>
          </w:p>
        </w:tc>
      </w:tr>
      <w:tr>
        <w:trPr/>
        <w:tc>
          <w:tcPr>
            <w:tcW w:w="264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1840"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vAlign w:val="center"/>
          </w:tcPr>
          <w:p>
            <w:pPr>
              <w:pStyle w:val="TableContents"/>
              <w:bidi w:val="0"/>
              <w:spacing w:before="0" w:after="0"/>
              <w:jc w:val="center"/>
              <w:rPr>
                <w:rFonts w:ascii="arial" w:hAnsi="arial"/>
                <w:b/>
                <w:color w:val="1070B8"/>
                <w:sz w:val="18"/>
              </w:rPr>
            </w:pPr>
            <w:r>
              <w:rPr>
                <w:rFonts w:ascii="arial" w:hAnsi="arial"/>
                <w:b/>
                <w:color w:val="1070B8"/>
                <w:sz w:val="18"/>
              </w:rPr>
              <w:t>65 YEARS</w:t>
            </w:r>
          </w:p>
          <w:p>
            <w:pPr>
              <w:pStyle w:val="TableContents"/>
              <w:bidi w:val="0"/>
              <w:spacing w:before="0" w:after="0"/>
              <w:jc w:val="center"/>
              <w:rPr>
                <w:rFonts w:ascii="arial" w:hAnsi="arial"/>
                <w:b/>
                <w:color w:val="1070B8"/>
                <w:sz w:val="18"/>
              </w:rPr>
            </w:pPr>
            <w:r>
              <w:rPr>
                <w:rFonts w:ascii="arial" w:hAnsi="arial"/>
                <w:b/>
                <w:color w:val="1070B8"/>
                <w:sz w:val="18"/>
              </w:rPr>
              <w:t>AVERAGE AGE OF BOARD MEMBERS</w:t>
            </w:r>
          </w:p>
          <w:p>
            <w:pPr>
              <w:pStyle w:val="TableContents"/>
              <w:bidi w:val="0"/>
              <w:spacing w:before="0" w:after="20"/>
              <w:jc w:val="center"/>
              <w:rPr>
                <w:rFonts w:ascii="arial" w:hAnsi="arial"/>
                <w:b/>
                <w:color w:val="1070B8"/>
                <w:sz w:val="18"/>
              </w:rPr>
            </w:pPr>
            <w:r>
              <w:rPr>
                <w:rFonts w:ascii="arial" w:hAnsi="arial"/>
                <w:b/>
                <w:color w:val="1070B8"/>
                <w:sz w:val="18"/>
              </w:rPr>
              <w:t>Two 50s, Three 60s, Three 70s</w:t>
            </w:r>
          </w:p>
        </w:tc>
        <w:tc>
          <w:tcPr>
            <w:tcW w:w="60" w:type="dxa"/>
            <w:tcBorders/>
            <w:vAlign w:val="center"/>
          </w:tcPr>
          <w:p>
            <w:pPr>
              <w:pStyle w:val="TableContents"/>
              <w:bidi w:val="0"/>
              <w:spacing w:before="0" w:after="283"/>
              <w:jc w:val="left"/>
              <w:rPr/>
            </w:pPr>
            <w:r>
              <w:rPr/>
              <w:t> </w:t>
            </w:r>
          </w:p>
        </w:tc>
        <w:tc>
          <w:tcPr>
            <w:tcW w:w="120" w:type="dxa"/>
            <w:tcBorders>
              <w:right w:val="single" w:sz="6" w:space="0" w:color="1070B8"/>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4" w:type="dxa"/>
            <w:gridSpan w:val="3"/>
            <w:tcBorders/>
            <w:vAlign w:val="center"/>
          </w:tcPr>
          <w:p>
            <w:pPr>
              <w:pStyle w:val="TableContents"/>
              <w:bidi w:val="0"/>
              <w:spacing w:before="0" w:after="0"/>
              <w:jc w:val="center"/>
              <w:rPr>
                <w:rFonts w:ascii="arial" w:hAnsi="arial"/>
                <w:b/>
                <w:color w:val="1070B8"/>
                <w:sz w:val="18"/>
              </w:rPr>
            </w:pPr>
            <w:r>
              <w:rPr>
                <w:rFonts w:ascii="arial" w:hAnsi="arial"/>
                <w:b/>
                <w:color w:val="1070B8"/>
                <w:sz w:val="18"/>
              </w:rPr>
              <w:t>11 YEARS</w:t>
            </w:r>
          </w:p>
          <w:p>
            <w:pPr>
              <w:pStyle w:val="TableContents"/>
              <w:bidi w:val="0"/>
              <w:spacing w:before="0" w:after="0"/>
              <w:jc w:val="center"/>
              <w:rPr>
                <w:rFonts w:ascii="arial" w:hAnsi="arial"/>
                <w:b/>
                <w:color w:val="1070B8"/>
                <w:sz w:val="18"/>
              </w:rPr>
            </w:pPr>
            <w:r>
              <w:rPr>
                <w:rFonts w:ascii="arial" w:hAnsi="arial"/>
                <w:b/>
                <w:color w:val="1070B8"/>
                <w:sz w:val="18"/>
              </w:rPr>
              <w:t>AVERAGE BOARD TENURE</w:t>
            </w:r>
          </w:p>
          <w:p>
            <w:pPr>
              <w:pStyle w:val="TableContents"/>
              <w:bidi w:val="0"/>
              <w:spacing w:before="0" w:after="20"/>
              <w:jc w:val="center"/>
              <w:rPr>
                <w:rFonts w:ascii="arial" w:hAnsi="arial"/>
                <w:b/>
                <w:color w:val="1070B8"/>
                <w:sz w:val="18"/>
              </w:rPr>
            </w:pPr>
            <w:r>
              <w:rPr>
                <w:rFonts w:ascii="arial" w:hAnsi="arial"/>
                <w:b/>
                <w:color w:val="1070B8"/>
                <w:sz w:val="18"/>
              </w:rPr>
              <w:t>One 0-2, Two 3-10, Six 10+</w:t>
            </w:r>
          </w:p>
        </w:tc>
        <w:tc>
          <w:tcPr>
            <w:tcW w:w="60" w:type="dxa"/>
            <w:tcBorders/>
            <w:vAlign w:val="center"/>
          </w:tcPr>
          <w:p>
            <w:pPr>
              <w:pStyle w:val="TableContents"/>
              <w:bidi w:val="0"/>
              <w:spacing w:before="0" w:after="283"/>
              <w:jc w:val="left"/>
              <w:rPr/>
            </w:pPr>
            <w:r>
              <w:rPr/>
              <w:t> </w:t>
            </w:r>
          </w:p>
        </w:tc>
        <w:tc>
          <w:tcPr>
            <w:tcW w:w="120" w:type="dxa"/>
            <w:tcBorders>
              <w:right w:val="single" w:sz="6" w:space="0" w:color="1070B8"/>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4" w:type="dxa"/>
            <w:gridSpan w:val="3"/>
            <w:tcBorders/>
            <w:vAlign w:val="center"/>
          </w:tcPr>
          <w:p>
            <w:pPr>
              <w:pStyle w:val="TableContents"/>
              <w:bidi w:val="0"/>
              <w:spacing w:before="0" w:after="0"/>
              <w:jc w:val="center"/>
              <w:rPr>
                <w:rFonts w:ascii="arial" w:hAnsi="arial"/>
                <w:b/>
                <w:color w:val="1070B8"/>
                <w:sz w:val="18"/>
              </w:rPr>
            </w:pPr>
            <w:r>
              <w:rPr>
                <w:rFonts w:ascii="arial" w:hAnsi="arial"/>
                <w:b/>
                <w:color w:val="1070B8"/>
                <w:sz w:val="18"/>
              </w:rPr>
              <w:t>33%</w:t>
            </w:r>
          </w:p>
          <w:p>
            <w:pPr>
              <w:pStyle w:val="TableContents"/>
              <w:bidi w:val="0"/>
              <w:spacing w:before="0" w:after="0"/>
              <w:jc w:val="center"/>
              <w:rPr>
                <w:rFonts w:ascii="arial" w:hAnsi="arial"/>
                <w:b/>
                <w:color w:val="1070B8"/>
                <w:sz w:val="18"/>
              </w:rPr>
            </w:pPr>
            <w:r>
              <w:rPr>
                <w:rFonts w:ascii="arial" w:hAnsi="arial"/>
                <w:b/>
                <w:color w:val="1070B8"/>
                <w:sz w:val="18"/>
              </w:rPr>
              <w:t>OF THE BOARD ARE DIVERSE</w:t>
            </w:r>
          </w:p>
          <w:p>
            <w:pPr>
              <w:pStyle w:val="TableContents"/>
              <w:bidi w:val="0"/>
              <w:spacing w:before="0" w:after="0"/>
              <w:jc w:val="center"/>
              <w:rPr>
                <w:rFonts w:ascii="arial" w:hAnsi="arial"/>
                <w:b/>
                <w:color w:val="1070B8"/>
                <w:sz w:val="18"/>
              </w:rPr>
            </w:pPr>
            <w:r>
              <w:rPr>
                <w:rFonts w:ascii="arial" w:hAnsi="arial"/>
                <w:b/>
                <w:color w:val="1070B8"/>
                <w:sz w:val="18"/>
              </w:rPr>
              <w:t>Two Black/African American</w:t>
            </w:r>
          </w:p>
          <w:p>
            <w:pPr>
              <w:pStyle w:val="TableContents"/>
              <w:bidi w:val="0"/>
              <w:spacing w:before="0" w:after="20"/>
              <w:jc w:val="center"/>
              <w:rPr>
                <w:rFonts w:ascii="arial" w:hAnsi="arial"/>
                <w:b/>
                <w:color w:val="1070B8"/>
                <w:sz w:val="18"/>
              </w:rPr>
            </w:pPr>
            <w:r>
              <w:rPr>
                <w:rFonts w:ascii="arial" w:hAnsi="arial"/>
                <w:b/>
                <w:color w:val="1070B8"/>
                <w:sz w:val="18"/>
              </w:rPr>
              <w:t>One LGBTQ+</w:t>
            </w:r>
          </w:p>
        </w:tc>
      </w:tr>
    </w:tbl>
    <w:p>
      <w:pPr>
        <w:pStyle w:val="TextBody"/>
        <w:bidi w:val="0"/>
        <w:spacing w:before="280" w:after="0"/>
        <w:jc w:val="left"/>
        <w:rPr>
          <w:rFonts w:ascii="arial" w:hAnsi="arial"/>
          <w:b/>
          <w:color w:val="1F295C"/>
          <w:sz w:val="24"/>
        </w:rPr>
      </w:pPr>
      <w:bookmarkStart w:id="17" w:name="toc849638_18"/>
      <w:bookmarkEnd w:id="17"/>
      <w:r>
        <w:rPr>
          <w:rFonts w:ascii="arial" w:hAnsi="arial"/>
          <w:b/>
          <w:color w:val="1F295C"/>
          <w:sz w:val="24"/>
        </w:rPr>
        <w:t xml:space="preserve">Director Skills, Experience and Background </w:t>
      </w:r>
    </w:p>
    <w:p>
      <w:pPr>
        <w:pStyle w:val="TextBody"/>
        <w:bidi w:val="0"/>
        <w:spacing w:before="280" w:after="0"/>
        <w:jc w:val="left"/>
        <w:rPr>
          <w:rFonts w:ascii="arial" w:hAnsi="arial"/>
          <w:sz w:val="20"/>
        </w:rPr>
      </w:pPr>
      <w:r>
        <w:rPr>
          <w:rFonts w:ascii="arial" w:hAnsi="arial"/>
          <w:sz w:val="20"/>
        </w:rPr>
        <w:t xml:space="preserve">The following biographical information regarding each director nominee and director continuing in office is as of April 8, 2025. In addition to age and tenure as a director, it includes information about each individual’s principal occupation, professional experience, educational background and certain other experience, attributes, qualifications and skills that make the director a valuable member of the Board.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1 – Election of Directors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2"/>
        <w:gridCol w:w="120"/>
        <w:gridCol w:w="7063"/>
      </w:tblGrid>
      <w:tr>
        <w:trPr/>
        <w:tc>
          <w:tcPr>
            <w:tcW w:w="30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63" w:type="dxa"/>
            <w:tcBorders/>
            <w:vAlign w:val="center"/>
          </w:tcPr>
          <w:p>
            <w:pPr>
              <w:pStyle w:val="TableContents"/>
              <w:bidi w:val="0"/>
              <w:spacing w:before="0" w:after="283"/>
              <w:jc w:val="left"/>
              <w:rPr>
                <w:sz w:val="4"/>
                <w:szCs w:val="4"/>
              </w:rPr>
            </w:pPr>
            <w:r>
              <w:rPr>
                <w:sz w:val="4"/>
                <w:szCs w:val="4"/>
              </w:rPr>
            </w:r>
          </w:p>
        </w:tc>
      </w:tr>
      <w:tr>
        <w:trPr/>
        <w:tc>
          <w:tcPr>
            <w:tcW w:w="3022"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905000" cy="1524000"/>
                  <wp:effectExtent l="0" t="0" r="0" b="0"/>
                  <wp:docPr id="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6" descr=""/>
                          <pic:cNvPicPr>
                            <a:picLocks noChangeAspect="1" noChangeArrowheads="1"/>
                          </pic:cNvPicPr>
                        </pic:nvPicPr>
                        <pic:blipFill>
                          <a:blip r:embed="rId47"/>
                          <a:stretch>
                            <a:fillRect/>
                          </a:stretch>
                        </pic:blipFill>
                        <pic:spPr bwMode="auto">
                          <a:xfrm>
                            <a:off x="0" y="0"/>
                            <a:ext cx="1905000" cy="15240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63" w:type="dxa"/>
            <w:tcBorders/>
            <w:vAlign w:val="center"/>
          </w:tcPr>
          <w:p>
            <w:pPr>
              <w:pStyle w:val="TableContents"/>
              <w:bidi w:val="0"/>
              <w:spacing w:before="0" w:after="0"/>
              <w:jc w:val="left"/>
              <w:rPr>
                <w:rFonts w:ascii="arial" w:hAnsi="arial"/>
                <w:b/>
                <w:color w:val="1070B8"/>
                <w:sz w:val="52"/>
              </w:rPr>
            </w:pPr>
            <w:r>
              <w:rPr>
                <w:rFonts w:ascii="arial" w:hAnsi="arial"/>
                <w:b/>
                <w:color w:val="1070B8"/>
                <w:sz w:val="52"/>
              </w:rPr>
              <w:t>Jeffrey W. Edwards</w:t>
            </w:r>
          </w:p>
          <w:p>
            <w:pPr>
              <w:pStyle w:val="TableContents"/>
              <w:bidi w:val="0"/>
              <w:spacing w:before="0" w:after="20"/>
              <w:jc w:val="left"/>
              <w:rPr>
                <w:rFonts w:ascii="arial" w:hAnsi="arial"/>
                <w:i/>
                <w:color w:val="1070B8"/>
                <w:sz w:val="36"/>
              </w:rPr>
            </w:pPr>
            <w:r>
              <w:rPr>
                <w:rFonts w:ascii="arial" w:hAnsi="arial"/>
                <w:i/>
                <w:color w:val="1070B8"/>
                <w:sz w:val="36"/>
              </w:rPr>
              <w:t>Director Nominee</w:t>
            </w:r>
          </w:p>
        </w:tc>
      </w:tr>
      <w:tr>
        <w:trPr/>
        <w:tc>
          <w:tcPr>
            <w:tcW w:w="3022" w:type="dxa"/>
            <w:tcBorders/>
            <w:shd w:fill="D5DBE3" w:val="clear"/>
            <w:vAlign w:val="center"/>
          </w:tcPr>
          <w:p>
            <w:pPr>
              <w:pStyle w:val="TableContents"/>
              <w:bidi w:val="0"/>
              <w:spacing w:before="0" w:after="0"/>
              <w:jc w:val="left"/>
              <w:rPr/>
            </w:pPr>
            <w:r>
              <w:rPr/>
              <w:t> </w:t>
            </w:r>
          </w:p>
          <w:p>
            <w:pPr>
              <w:pStyle w:val="TableContents"/>
              <w:bidi w:val="0"/>
              <w:spacing w:before="0" w:after="0"/>
              <w:jc w:val="left"/>
              <w:rPr>
                <w:color w:val="1F295C"/>
              </w:rPr>
            </w:pPr>
            <w:r>
              <w:rPr>
                <w:color w:val="1F295C"/>
              </w:rPr>
              <w:t> </w:t>
            </w:r>
            <w:r>
              <w:rPr>
                <w:rFonts w:ascii="arial" w:hAnsi="arial"/>
                <w:b/>
                <w:color w:val="1F295C"/>
                <w:sz w:val="20"/>
              </w:rPr>
              <w:t>Age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61</w:t>
            </w:r>
          </w:p>
          <w:p>
            <w:pPr>
              <w:pStyle w:val="TableContents"/>
              <w:bidi w:val="0"/>
              <w:spacing w:before="0" w:after="0"/>
              <w:jc w:val="left"/>
              <w:rPr/>
            </w:pPr>
            <w:r>
              <w:rPr/>
              <w:t> </w:t>
            </w:r>
          </w:p>
          <w:p>
            <w:pPr>
              <w:pStyle w:val="TableContents"/>
              <w:bidi w:val="0"/>
              <w:spacing w:before="0" w:after="0"/>
              <w:jc w:val="left"/>
              <w:rPr>
                <w:color w:val="1F295C"/>
              </w:rPr>
            </w:pPr>
            <w:r>
              <w:rPr>
                <w:color w:val="1F295C"/>
              </w:rPr>
              <w:t> </w:t>
            </w:r>
            <w:r>
              <w:rPr>
                <w:rFonts w:ascii="arial" w:hAnsi="arial"/>
                <w:b/>
                <w:color w:val="1F295C"/>
                <w:sz w:val="20"/>
              </w:rPr>
              <w:t>Chairman since 1999</w:t>
            </w:r>
          </w:p>
          <w:p>
            <w:pPr>
              <w:pStyle w:val="TableContents"/>
              <w:bidi w:val="0"/>
              <w:spacing w:before="0" w:after="0"/>
              <w:jc w:val="left"/>
              <w:rPr/>
            </w:pPr>
            <w:r>
              <w:rPr/>
              <w:t> </w:t>
            </w:r>
          </w:p>
          <w:p>
            <w:pPr>
              <w:pStyle w:val="TableContents"/>
              <w:bidi w:val="0"/>
              <w:spacing w:before="0" w:after="0"/>
              <w:jc w:val="left"/>
              <w:rPr>
                <w:color w:val="1F295C"/>
              </w:rPr>
            </w:pPr>
            <w:r>
              <w:rPr>
                <w:color w:val="1F295C"/>
              </w:rPr>
              <w:t> </w:t>
            </w:r>
            <w:r>
              <w:rPr>
                <w:rFonts w:ascii="arial" w:hAnsi="arial"/>
                <w:b/>
                <w:color w:val="1F295C"/>
                <w:sz w:val="20"/>
              </w:rPr>
              <w:t>Independent</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No</w:t>
            </w:r>
          </w:p>
          <w:p>
            <w:pPr>
              <w:pStyle w:val="TableContents"/>
              <w:bidi w:val="0"/>
              <w:spacing w:before="0" w:after="0"/>
              <w:jc w:val="left"/>
              <w:rPr/>
            </w:pPr>
            <w:r>
              <w:rPr/>
              <w:t> </w:t>
            </w:r>
          </w:p>
          <w:p>
            <w:pPr>
              <w:pStyle w:val="TableContents"/>
              <w:bidi w:val="0"/>
              <w:spacing w:before="0" w:after="0"/>
              <w:jc w:val="left"/>
              <w:rPr>
                <w:color w:val="1F295C"/>
              </w:rPr>
            </w:pPr>
            <w:r>
              <w:rPr>
                <w:color w:val="1F295C"/>
              </w:rPr>
              <w:t> </w:t>
            </w:r>
            <w:r>
              <w:rPr>
                <w:rFonts w:ascii="arial" w:hAnsi="arial"/>
                <w:b/>
                <w:color w:val="1F295C"/>
                <w:sz w:val="20"/>
              </w:rPr>
              <w:t>Director since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1999</w:t>
            </w:r>
          </w:p>
          <w:p>
            <w:pPr>
              <w:pStyle w:val="TableContents"/>
              <w:bidi w:val="0"/>
              <w:spacing w:before="0" w:after="0"/>
              <w:jc w:val="left"/>
              <w:rPr/>
            </w:pPr>
            <w:r>
              <w:rPr/>
              <w:t> </w:t>
            </w:r>
          </w:p>
          <w:p>
            <w:pPr>
              <w:pStyle w:val="TableContents"/>
              <w:bidi w:val="0"/>
              <w:spacing w:before="0" w:after="0"/>
              <w:jc w:val="left"/>
              <w:rPr>
                <w:color w:val="1F295C"/>
              </w:rPr>
            </w:pPr>
            <w:r>
              <w:rPr>
                <w:color w:val="1F295C"/>
              </w:rPr>
              <w:t> </w:t>
            </w:r>
            <w:r>
              <w:rPr>
                <w:rFonts w:ascii="arial" w:hAnsi="arial"/>
                <w:b/>
                <w:color w:val="1F295C"/>
                <w:sz w:val="20"/>
              </w:rPr>
              <w:t>Class III Director</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Term Expires in 2025</w:t>
            </w:r>
          </w:p>
          <w:p>
            <w:pPr>
              <w:pStyle w:val="TableContents"/>
              <w:bidi w:val="0"/>
              <w:spacing w:before="0" w:after="0"/>
              <w:jc w:val="left"/>
              <w:rPr/>
            </w:pPr>
            <w:r>
              <w:rPr/>
              <w:t> </w:t>
            </w:r>
          </w:p>
          <w:p>
            <w:pPr>
              <w:pStyle w:val="TableContents"/>
              <w:bidi w:val="0"/>
              <w:spacing w:before="0" w:after="0"/>
              <w:jc w:val="left"/>
              <w:rPr>
                <w:color w:val="1F295C"/>
              </w:rPr>
            </w:pPr>
            <w:r>
              <w:rPr>
                <w:color w:val="1F295C"/>
              </w:rPr>
              <w:t> </w:t>
            </w:r>
            <w:r>
              <w:rPr>
                <w:rFonts w:ascii="arial" w:hAnsi="arial"/>
                <w:b/>
                <w:color w:val="1F295C"/>
                <w:sz w:val="20"/>
              </w:rPr>
              <w:t>Board Committees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None</w:t>
            </w:r>
          </w:p>
        </w:tc>
        <w:tc>
          <w:tcPr>
            <w:tcW w:w="120" w:type="dxa"/>
            <w:tcBorders/>
            <w:vAlign w:val="center"/>
          </w:tcPr>
          <w:p>
            <w:pPr>
              <w:pStyle w:val="TableContents"/>
              <w:bidi w:val="0"/>
              <w:spacing w:before="0" w:after="283"/>
              <w:jc w:val="left"/>
              <w:rPr/>
            </w:pPr>
            <w:r>
              <w:rPr/>
              <w:t>  </w:t>
            </w:r>
          </w:p>
        </w:tc>
        <w:tc>
          <w:tcPr>
            <w:tcW w:w="7063"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Occupation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Installed Building Products, Inc.,</w:t>
            </w:r>
          </w:p>
          <w:p>
            <w:pPr>
              <w:pStyle w:val="TableContents"/>
              <w:bidi w:val="0"/>
              <w:spacing w:before="0" w:after="0"/>
              <w:jc w:val="left"/>
              <w:rPr>
                <w:rFonts w:ascii="arial" w:hAnsi="arial"/>
                <w:sz w:val="20"/>
              </w:rPr>
            </w:pPr>
            <w:r>
              <w:rPr>
                <w:rFonts w:ascii="arial" w:hAnsi="arial"/>
                <w:sz w:val="20"/>
              </w:rPr>
              <w:t>President (2011-present), Chief Executive Officer (2004-present) and Chairman (1999-present)</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Education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Miami University, B.S. in Marketing</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Experience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Officer and strategist for several family-owned companies across a variety of industries, including multi-family and student housing development and management, industrial tool distribution, wholesale building supply, homebuilding, restaurants, real estate development and real estate brokerage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Commercial and mixed real estate development throughout the U.S.</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Other Board Service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Battelle, a leading independent research and development organization, serving governmental and commercial clients in the national security, energy, health and environmental sectors, non-voting member (November 2023-January 2024), voting member (January 2024-present), HR, Compensation and Governance committee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Director of the Company’s predecessor (2004-2011)</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Columbus Museum of Art</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The Salvation Army, Emeritus Board Member</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The Policy Advisory Board of Harvard University’s Joint Center for Housing Studies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The Columbus Foundation, a non-profit community foundation, governing committee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The Columbus Partnership</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The Columbus Downtown Development Corporation</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Qualifications and Skills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As an industry leader with over 30 years of experience in the building products industry and in his roles as our CEO and Chairman, Mr. Edwards brings to the Board significant senior leadership, housing and construction industry knowledge, and strategic, operational and mergers and acquisitions experience. As founder of the Company, Mr. Edwards has unique knowledge and experience in the Company’s culture, business development, strategy and operations.</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1 – Election of Directors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93"/>
        <w:gridCol w:w="120"/>
        <w:gridCol w:w="6992"/>
      </w:tblGrid>
      <w:tr>
        <w:trPr/>
        <w:tc>
          <w:tcPr>
            <w:tcW w:w="30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92" w:type="dxa"/>
            <w:tcBorders/>
            <w:vAlign w:val="center"/>
          </w:tcPr>
          <w:p>
            <w:pPr>
              <w:pStyle w:val="TableContents"/>
              <w:bidi w:val="0"/>
              <w:spacing w:before="0" w:after="283"/>
              <w:jc w:val="left"/>
              <w:rPr>
                <w:sz w:val="4"/>
                <w:szCs w:val="4"/>
              </w:rPr>
            </w:pPr>
            <w:r>
              <w:rPr>
                <w:sz w:val="4"/>
                <w:szCs w:val="4"/>
              </w:rPr>
            </w:r>
          </w:p>
        </w:tc>
      </w:tr>
      <w:tr>
        <w:trPr/>
        <w:tc>
          <w:tcPr>
            <w:tcW w:w="3093" w:type="dxa"/>
            <w:tcBorders/>
            <w:vAlign w:val="center"/>
          </w:tcPr>
          <w:p>
            <w:pPr>
              <w:pStyle w:val="TableContents"/>
              <w:bidi w:val="0"/>
              <w:spacing w:before="0" w:after="283"/>
              <w:jc w:val="center"/>
              <w:rPr/>
            </w:pPr>
            <w:r>
              <w:rPr/>
              <w:drawing>
                <wp:inline distT="0" distB="0" distL="0" distR="0">
                  <wp:extent cx="1905000" cy="1524000"/>
                  <wp:effectExtent l="0" t="0" r="0" b="0"/>
                  <wp:docPr id="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7" descr=""/>
                          <pic:cNvPicPr>
                            <a:picLocks noChangeAspect="1" noChangeArrowheads="1"/>
                          </pic:cNvPicPr>
                        </pic:nvPicPr>
                        <pic:blipFill>
                          <a:blip r:embed="rId48"/>
                          <a:stretch>
                            <a:fillRect/>
                          </a:stretch>
                        </pic:blipFill>
                        <pic:spPr bwMode="auto">
                          <a:xfrm>
                            <a:off x="0" y="0"/>
                            <a:ext cx="1905000" cy="15240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0"/>
              <w:jc w:val="left"/>
              <w:rPr>
                <w:rFonts w:ascii="arial" w:hAnsi="arial"/>
                <w:b/>
                <w:color w:val="1070B8"/>
                <w:sz w:val="52"/>
              </w:rPr>
            </w:pPr>
            <w:r>
              <w:rPr>
                <w:rFonts w:ascii="arial" w:hAnsi="arial"/>
                <w:b/>
                <w:color w:val="1070B8"/>
                <w:sz w:val="52"/>
              </w:rPr>
              <w:t>Lawrence A. Hilsheimer</w:t>
            </w:r>
          </w:p>
          <w:p>
            <w:pPr>
              <w:pStyle w:val="TableContents"/>
              <w:bidi w:val="0"/>
              <w:spacing w:before="0" w:after="20"/>
              <w:jc w:val="left"/>
              <w:rPr>
                <w:rFonts w:ascii="arial" w:hAnsi="arial"/>
                <w:i/>
                <w:color w:val="1070B8"/>
                <w:sz w:val="36"/>
              </w:rPr>
            </w:pPr>
            <w:r>
              <w:rPr>
                <w:rFonts w:ascii="arial" w:hAnsi="arial"/>
                <w:i/>
                <w:color w:val="1070B8"/>
                <w:sz w:val="36"/>
              </w:rPr>
              <w:t>Director Nominee</w:t>
            </w:r>
          </w:p>
        </w:tc>
      </w:tr>
      <w:tr>
        <w:trPr/>
        <w:tc>
          <w:tcPr>
            <w:tcW w:w="3093" w:type="dxa"/>
            <w:tcBorders/>
            <w:shd w:fill="D5DBE3"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Age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67</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Independent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Yes</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Director since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2014</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Class III Director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Term Expires in 2025</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Board Committees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Audit (Chair)</w:t>
            </w:r>
          </w:p>
          <w:p>
            <w:pPr>
              <w:pStyle w:val="TableContents"/>
              <w:bidi w:val="0"/>
              <w:spacing w:before="0" w:after="20"/>
              <w:jc w:val="left"/>
              <w:rPr/>
            </w:pPr>
            <w:r>
              <w:rPr/>
              <w:t>●   </w:t>
            </w:r>
            <w:r>
              <w:rPr>
                <w:rFonts w:ascii="arial" w:hAnsi="arial"/>
                <w:sz w:val="20"/>
              </w:rPr>
              <w:t>Nominating and Corporate Governance</w:t>
            </w:r>
          </w:p>
        </w:tc>
        <w:tc>
          <w:tcPr>
            <w:tcW w:w="120"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Occupation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Greif, Inc., a publicly traded global leader in industrial packing products and services</w:t>
            </w:r>
          </w:p>
          <w:p>
            <w:pPr>
              <w:pStyle w:val="TableContents"/>
              <w:bidi w:val="0"/>
              <w:spacing w:before="0" w:after="0"/>
              <w:jc w:val="left"/>
              <w:rPr>
                <w:rFonts w:ascii="arial" w:hAnsi="arial"/>
                <w:sz w:val="20"/>
              </w:rPr>
            </w:pPr>
            <w:r>
              <w:rPr>
                <w:rFonts w:ascii="arial" w:hAnsi="arial"/>
                <w:sz w:val="20"/>
              </w:rPr>
              <w:t>Executive Vice President and Chief Financial Officer (2014–present)</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Education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The Ohio State University Fisher College of Business, B.A. in Business Administration</w:t>
            </w:r>
          </w:p>
          <w:p>
            <w:pPr>
              <w:pStyle w:val="TableContents"/>
              <w:bidi w:val="0"/>
              <w:spacing w:before="0" w:after="0"/>
              <w:jc w:val="left"/>
              <w:rPr>
                <w:rFonts w:ascii="arial" w:hAnsi="arial"/>
                <w:sz w:val="20"/>
              </w:rPr>
            </w:pPr>
            <w:r>
              <w:rPr>
                <w:rFonts w:ascii="arial" w:hAnsi="arial"/>
                <w:sz w:val="20"/>
              </w:rPr>
              <w:t>Capital University Law School, J.D.</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Experience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The Scotts Miracle-Gro Company, a publicly traded manufacturer of branded consumer lawn and garden products, Executive Vice President and Chief Financial Officer</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Nationwide Mutual Insurance Company, a provider of property and casualty insurance and financial services, Executive Vice President and Chief Financial Officer; President and Chief Operating Officer of multiple business units, including Nationwide Direct and Customer Solutions and Nationwide Retirement Plans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Deloitte &amp; Touche USA, LLP, Vice Chairman and Regional Managing Partner</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Other Board Service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Root, Inc., the publicly traded parent of Root Insurance Company (October 2021-present), chair of audit committee, lead independent director</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Root Insurance Company (2017-present), chair of audit committee (2017-present)</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National Veteran’s Memorial and Museum Foundation Board (November 2021- present)</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Battelle for Kids (2012-present), member of finance committee</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Qualifications and Skills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Hilsheimer’s broad business background and corporate finance and public accounting roles bring to the Board public company financial reporting, capital structure, public board service, executive leadership and technology experience. Mr. Hilsheimer’s CERT Certificate in Cybersecurity Oversight from the National Association of Corporate Directors aids the Board’s understanding of the cybersecurity threat landscape and assists the Board in overseeing an effective risk management program.</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1 – Election of Directors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184"/>
        <w:gridCol w:w="120"/>
        <w:gridCol w:w="6901"/>
      </w:tblGrid>
      <w:tr>
        <w:trPr/>
        <w:tc>
          <w:tcPr>
            <w:tcW w:w="31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01" w:type="dxa"/>
            <w:tcBorders/>
            <w:vAlign w:val="center"/>
          </w:tcPr>
          <w:p>
            <w:pPr>
              <w:pStyle w:val="TableContents"/>
              <w:bidi w:val="0"/>
              <w:spacing w:before="0" w:after="283"/>
              <w:jc w:val="left"/>
              <w:rPr>
                <w:sz w:val="4"/>
                <w:szCs w:val="4"/>
              </w:rPr>
            </w:pPr>
            <w:r>
              <w:rPr>
                <w:sz w:val="4"/>
                <w:szCs w:val="4"/>
              </w:rPr>
            </w:r>
          </w:p>
        </w:tc>
      </w:tr>
      <w:tr>
        <w:trPr/>
        <w:tc>
          <w:tcPr>
            <w:tcW w:w="3184" w:type="dxa"/>
            <w:tcBorders/>
            <w:vAlign w:val="center"/>
          </w:tcPr>
          <w:p>
            <w:pPr>
              <w:pStyle w:val="TableContents"/>
              <w:bidi w:val="0"/>
              <w:spacing w:before="0" w:after="283"/>
              <w:jc w:val="center"/>
              <w:rPr/>
            </w:pPr>
            <w:r>
              <w:rPr/>
              <w:drawing>
                <wp:inline distT="0" distB="0" distL="0" distR="0">
                  <wp:extent cx="1905000" cy="1524000"/>
                  <wp:effectExtent l="0" t="0" r="0" b="0"/>
                  <wp:docPr id="5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8" descr=""/>
                          <pic:cNvPicPr>
                            <a:picLocks noChangeAspect="1" noChangeArrowheads="1"/>
                          </pic:cNvPicPr>
                        </pic:nvPicPr>
                        <pic:blipFill>
                          <a:blip r:embed="rId49"/>
                          <a:stretch>
                            <a:fillRect/>
                          </a:stretch>
                        </pic:blipFill>
                        <pic:spPr bwMode="auto">
                          <a:xfrm>
                            <a:off x="0" y="0"/>
                            <a:ext cx="1905000" cy="15240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901" w:type="dxa"/>
            <w:tcBorders/>
            <w:vAlign w:val="center"/>
          </w:tcPr>
          <w:p>
            <w:pPr>
              <w:pStyle w:val="TableContents"/>
              <w:bidi w:val="0"/>
              <w:spacing w:before="0" w:after="0"/>
              <w:jc w:val="left"/>
              <w:rPr>
                <w:rFonts w:ascii="arial" w:hAnsi="arial"/>
                <w:b/>
                <w:color w:val="1070B8"/>
                <w:sz w:val="52"/>
              </w:rPr>
            </w:pPr>
            <w:r>
              <w:rPr>
                <w:rFonts w:ascii="arial" w:hAnsi="arial"/>
                <w:b/>
                <w:color w:val="1070B8"/>
                <w:sz w:val="52"/>
              </w:rPr>
              <w:t>Janet E. Jackson</w:t>
            </w:r>
          </w:p>
          <w:p>
            <w:pPr>
              <w:pStyle w:val="TableContents"/>
              <w:bidi w:val="0"/>
              <w:spacing w:before="0" w:after="20"/>
              <w:jc w:val="left"/>
              <w:rPr>
                <w:rFonts w:ascii="arial" w:hAnsi="arial"/>
                <w:i/>
                <w:color w:val="1070B8"/>
                <w:sz w:val="36"/>
              </w:rPr>
            </w:pPr>
            <w:r>
              <w:rPr>
                <w:rFonts w:ascii="arial" w:hAnsi="arial"/>
                <w:i/>
                <w:color w:val="1070B8"/>
                <w:sz w:val="36"/>
              </w:rPr>
              <w:t>Director Nominee</w:t>
            </w:r>
          </w:p>
        </w:tc>
      </w:tr>
      <w:tr>
        <w:trPr/>
        <w:tc>
          <w:tcPr>
            <w:tcW w:w="3184" w:type="dxa"/>
            <w:tcBorders/>
            <w:shd w:fill="D5DBE3"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Age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72</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Independent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Yes</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Director since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2014</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Class III Director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Term Expires in 2025</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Board Committees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Compensation and Human Capital (Chair)</w:t>
            </w:r>
          </w:p>
          <w:p>
            <w:pPr>
              <w:pStyle w:val="TableContents"/>
              <w:bidi w:val="0"/>
              <w:spacing w:before="0" w:after="20"/>
              <w:jc w:val="left"/>
              <w:rPr/>
            </w:pPr>
            <w:r>
              <w:rPr/>
              <w:t>●   </w:t>
            </w:r>
            <w:r>
              <w:rPr>
                <w:rFonts w:ascii="arial" w:hAnsi="arial"/>
                <w:sz w:val="20"/>
              </w:rPr>
              <w:t>Nominating and Corporate Governance</w:t>
            </w:r>
          </w:p>
        </w:tc>
        <w:tc>
          <w:tcPr>
            <w:tcW w:w="120" w:type="dxa"/>
            <w:tcBorders/>
            <w:vAlign w:val="center"/>
          </w:tcPr>
          <w:p>
            <w:pPr>
              <w:pStyle w:val="TableContents"/>
              <w:bidi w:val="0"/>
              <w:spacing w:before="0" w:after="283"/>
              <w:jc w:val="left"/>
              <w:rPr/>
            </w:pPr>
            <w:r>
              <w:rPr/>
              <w:t>  </w:t>
            </w:r>
          </w:p>
        </w:tc>
        <w:tc>
          <w:tcPr>
            <w:tcW w:w="6901"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Occupation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United Way of Central Ohio, a nonprofit organization and one of the largest United Way affiliates in the U.S.</w:t>
            </w:r>
          </w:p>
          <w:p>
            <w:pPr>
              <w:pStyle w:val="TableContents"/>
              <w:bidi w:val="0"/>
              <w:spacing w:before="0" w:after="0"/>
              <w:jc w:val="left"/>
              <w:rPr>
                <w:rFonts w:ascii="arial" w:hAnsi="arial"/>
                <w:sz w:val="20"/>
              </w:rPr>
            </w:pPr>
            <w:r>
              <w:rPr>
                <w:rFonts w:ascii="arial" w:hAnsi="arial"/>
                <w:sz w:val="20"/>
              </w:rPr>
              <w:t>Retired President and Chief Executive Officer (2003-2017)</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Education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Wittenberg University, B.A. in History</w:t>
            </w:r>
          </w:p>
          <w:p>
            <w:pPr>
              <w:pStyle w:val="TableContents"/>
              <w:bidi w:val="0"/>
              <w:spacing w:before="0" w:after="0"/>
              <w:jc w:val="left"/>
              <w:rPr>
                <w:rFonts w:ascii="arial" w:hAnsi="arial"/>
                <w:sz w:val="20"/>
              </w:rPr>
            </w:pPr>
            <w:r>
              <w:rPr>
                <w:rFonts w:ascii="arial" w:hAnsi="arial"/>
                <w:sz w:val="20"/>
              </w:rPr>
              <w:t>National Law Center at The George Washington University, J.D.</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Experience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City Attorney, Columbus, Ohio</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Municipal Court Judge, Franklin County, Ohio</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First woman and first African American to hold her position at United Way and to be elected as Columbus City Attorney, and the first African American female judge in Franklin County, Ohio</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Other Board Service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Wittenberg University (2016- May 2024), governance and board affairs committee (2018- May 2024), advancement and alumni relations committee (2017- May 2024), enrollment management committee (2016-2018), academic and student life committee (2016-2019) and finance and investments committee (2020-May 2024)</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City of Columbus Civilian Police Review Board, chair (April 2021-April 2023)</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Qualifications and Skills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Ms. Jackson’s significant leadership experience and extensive background in public service bring to the Board executive leadership, strategic and operational and human capital skills. The Board also benefits from Ms. Jackson’s legal background, judgment and input on community investment and engagement and inclusion and belonging.</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1 – Election of Directors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21"/>
        <w:gridCol w:w="120"/>
        <w:gridCol w:w="7064"/>
      </w:tblGrid>
      <w:tr>
        <w:trPr/>
        <w:tc>
          <w:tcPr>
            <w:tcW w:w="30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64" w:type="dxa"/>
            <w:tcBorders/>
            <w:vAlign w:val="center"/>
          </w:tcPr>
          <w:p>
            <w:pPr>
              <w:pStyle w:val="TableContents"/>
              <w:bidi w:val="0"/>
              <w:spacing w:before="0" w:after="283"/>
              <w:jc w:val="left"/>
              <w:rPr>
                <w:sz w:val="4"/>
                <w:szCs w:val="4"/>
              </w:rPr>
            </w:pPr>
            <w:r>
              <w:rPr>
                <w:sz w:val="4"/>
                <w:szCs w:val="4"/>
              </w:rPr>
            </w:r>
          </w:p>
        </w:tc>
      </w:tr>
      <w:tr>
        <w:trPr/>
        <w:tc>
          <w:tcPr>
            <w:tcW w:w="3021" w:type="dxa"/>
            <w:tcBorders/>
            <w:vAlign w:val="center"/>
          </w:tcPr>
          <w:p>
            <w:pPr>
              <w:pStyle w:val="TableContents"/>
              <w:bidi w:val="0"/>
              <w:spacing w:before="0" w:after="283"/>
              <w:jc w:val="center"/>
              <w:rPr/>
            </w:pPr>
            <w:r>
              <w:rPr/>
              <w:drawing>
                <wp:inline distT="0" distB="0" distL="0" distR="0">
                  <wp:extent cx="1905000" cy="1524000"/>
                  <wp:effectExtent l="0" t="0" r="0" b="0"/>
                  <wp:docPr id="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9" descr=""/>
                          <pic:cNvPicPr>
                            <a:picLocks noChangeAspect="1" noChangeArrowheads="1"/>
                          </pic:cNvPicPr>
                        </pic:nvPicPr>
                        <pic:blipFill>
                          <a:blip r:embed="rId50"/>
                          <a:stretch>
                            <a:fillRect/>
                          </a:stretch>
                        </pic:blipFill>
                        <pic:spPr bwMode="auto">
                          <a:xfrm>
                            <a:off x="0" y="0"/>
                            <a:ext cx="1905000" cy="15240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64" w:type="dxa"/>
            <w:tcBorders/>
            <w:vAlign w:val="center"/>
          </w:tcPr>
          <w:p>
            <w:pPr>
              <w:pStyle w:val="TableContents"/>
              <w:bidi w:val="0"/>
              <w:spacing w:before="0" w:after="0"/>
              <w:jc w:val="left"/>
              <w:rPr>
                <w:rFonts w:ascii="arial" w:hAnsi="arial"/>
                <w:b/>
                <w:color w:val="1070B8"/>
                <w:sz w:val="52"/>
              </w:rPr>
            </w:pPr>
            <w:r>
              <w:rPr>
                <w:rFonts w:ascii="arial" w:hAnsi="arial"/>
                <w:b/>
                <w:color w:val="1070B8"/>
                <w:sz w:val="52"/>
              </w:rPr>
              <w:t>Michael T. Miller</w:t>
            </w:r>
          </w:p>
          <w:p>
            <w:pPr>
              <w:pStyle w:val="TableContents"/>
              <w:bidi w:val="0"/>
              <w:spacing w:before="0" w:after="20"/>
              <w:jc w:val="left"/>
              <w:rPr>
                <w:rFonts w:ascii="arial" w:hAnsi="arial"/>
                <w:i/>
                <w:color w:val="1070B8"/>
                <w:sz w:val="36"/>
              </w:rPr>
            </w:pPr>
            <w:r>
              <w:rPr>
                <w:rFonts w:ascii="arial" w:hAnsi="arial"/>
                <w:i/>
                <w:color w:val="1070B8"/>
                <w:sz w:val="36"/>
              </w:rPr>
              <w:t>Continuing Director</w:t>
            </w:r>
          </w:p>
        </w:tc>
      </w:tr>
      <w:tr>
        <w:trPr/>
        <w:tc>
          <w:tcPr>
            <w:tcW w:w="3021" w:type="dxa"/>
            <w:tcBorders/>
            <w:shd w:fill="D5DBE3"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Age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60</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Independent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No</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Director since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2014</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Class I Director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Term Expires in 2026</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Board Committees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None</w:t>
            </w:r>
          </w:p>
        </w:tc>
        <w:tc>
          <w:tcPr>
            <w:tcW w:w="120" w:type="dxa"/>
            <w:tcBorders/>
            <w:vAlign w:val="center"/>
          </w:tcPr>
          <w:p>
            <w:pPr>
              <w:pStyle w:val="TableContents"/>
              <w:bidi w:val="0"/>
              <w:spacing w:before="0" w:after="283"/>
              <w:jc w:val="left"/>
              <w:rPr/>
            </w:pPr>
            <w:r>
              <w:rPr/>
              <w:t>  </w:t>
            </w:r>
          </w:p>
        </w:tc>
        <w:tc>
          <w:tcPr>
            <w:tcW w:w="7064"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Occupation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Installed Building Products, Inc.,</w:t>
            </w:r>
          </w:p>
          <w:p>
            <w:pPr>
              <w:pStyle w:val="TableContents"/>
              <w:bidi w:val="0"/>
              <w:spacing w:before="0" w:after="0"/>
              <w:jc w:val="left"/>
              <w:rPr>
                <w:rFonts w:ascii="arial" w:hAnsi="arial"/>
                <w:sz w:val="20"/>
              </w:rPr>
            </w:pPr>
            <w:r>
              <w:rPr>
                <w:rFonts w:ascii="arial" w:hAnsi="arial"/>
                <w:sz w:val="20"/>
              </w:rPr>
              <w:t>Executive Vice President – Finance (2000-present) and Chief Financial Officer (2013-present)</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Education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 xml:space="preserve">Wake Forest University, B.A. in Economics and German </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Experience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Huntington Capital Corp., a subsidiary of Huntington Bancshares, Inc., a regional bank holding company, Corporate Investment Banking, Senior Vice President/Managing Director</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Various positions with Deutsche Bank and Canadian Imperial Bank of Commerce in New York and First Union National Bank, Charlotte, North Carolina</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Other Board Service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BMC Stock Holdings, Inc. (2014-January 2021), a publicly traded leader in diversified building products, audit committee</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Qualifications and Skills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As our Chief Financial Officer and Executive Vice President of Finance for more than 20 years, Mr. Miller brings to the Board executive leadership and extensive housing and construction, strategic and operational, capital structure, risk management and mergers and acquisitions experience. His knowledge of financial markets and financing, in addition to his past service on the board and audit committee of a publicly-traded diversified building products company, contribute to the Board knowledge of public company financial reporting, internal controls and public board service.</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1 – Election of Directors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97"/>
        <w:gridCol w:w="120"/>
        <w:gridCol w:w="6988"/>
      </w:tblGrid>
      <w:tr>
        <w:trPr/>
        <w:tc>
          <w:tcPr>
            <w:tcW w:w="30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88" w:type="dxa"/>
            <w:tcBorders/>
            <w:vAlign w:val="center"/>
          </w:tcPr>
          <w:p>
            <w:pPr>
              <w:pStyle w:val="TableContents"/>
              <w:bidi w:val="0"/>
              <w:spacing w:before="0" w:after="283"/>
              <w:jc w:val="left"/>
              <w:rPr>
                <w:sz w:val="4"/>
                <w:szCs w:val="4"/>
              </w:rPr>
            </w:pPr>
            <w:r>
              <w:rPr>
                <w:sz w:val="4"/>
                <w:szCs w:val="4"/>
              </w:rPr>
            </w:r>
          </w:p>
        </w:tc>
      </w:tr>
      <w:tr>
        <w:trPr/>
        <w:tc>
          <w:tcPr>
            <w:tcW w:w="3097" w:type="dxa"/>
            <w:tcBorders/>
            <w:vAlign w:val="center"/>
          </w:tcPr>
          <w:p>
            <w:pPr>
              <w:pStyle w:val="TableContents"/>
              <w:bidi w:val="0"/>
              <w:spacing w:before="0" w:after="283"/>
              <w:jc w:val="center"/>
              <w:rPr/>
            </w:pPr>
            <w:r>
              <w:rPr/>
              <w:drawing>
                <wp:inline distT="0" distB="0" distL="0" distR="0">
                  <wp:extent cx="1905000" cy="1524000"/>
                  <wp:effectExtent l="0" t="0" r="0" b="0"/>
                  <wp:docPr id="5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0" descr=""/>
                          <pic:cNvPicPr>
                            <a:picLocks noChangeAspect="1" noChangeArrowheads="1"/>
                          </pic:cNvPicPr>
                        </pic:nvPicPr>
                        <pic:blipFill>
                          <a:blip r:embed="rId51"/>
                          <a:stretch>
                            <a:fillRect/>
                          </a:stretch>
                        </pic:blipFill>
                        <pic:spPr bwMode="auto">
                          <a:xfrm>
                            <a:off x="0" y="0"/>
                            <a:ext cx="1905000" cy="15240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988" w:type="dxa"/>
            <w:tcBorders/>
            <w:vAlign w:val="center"/>
          </w:tcPr>
          <w:p>
            <w:pPr>
              <w:pStyle w:val="TableContents"/>
              <w:bidi w:val="0"/>
              <w:spacing w:before="0" w:after="0"/>
              <w:jc w:val="left"/>
              <w:rPr>
                <w:rFonts w:ascii="arial" w:hAnsi="arial"/>
                <w:b/>
                <w:color w:val="1070B8"/>
                <w:sz w:val="52"/>
              </w:rPr>
            </w:pPr>
            <w:r>
              <w:rPr>
                <w:rFonts w:ascii="arial" w:hAnsi="arial"/>
                <w:b/>
                <w:color w:val="1070B8"/>
                <w:sz w:val="52"/>
              </w:rPr>
              <w:t>Marchelle E. Moore</w:t>
            </w:r>
          </w:p>
          <w:p>
            <w:pPr>
              <w:pStyle w:val="TableContents"/>
              <w:bidi w:val="0"/>
              <w:spacing w:before="0" w:after="20"/>
              <w:jc w:val="left"/>
              <w:rPr>
                <w:rFonts w:ascii="arial" w:hAnsi="arial"/>
                <w:i/>
                <w:color w:val="1070B8"/>
                <w:sz w:val="36"/>
              </w:rPr>
            </w:pPr>
            <w:r>
              <w:rPr>
                <w:rFonts w:ascii="arial" w:hAnsi="arial"/>
                <w:i/>
                <w:color w:val="1070B8"/>
                <w:sz w:val="36"/>
              </w:rPr>
              <w:t>Continuing Director</w:t>
            </w:r>
          </w:p>
        </w:tc>
      </w:tr>
      <w:tr>
        <w:trPr/>
        <w:tc>
          <w:tcPr>
            <w:tcW w:w="3097" w:type="dxa"/>
            <w:tcBorders/>
            <w:shd w:fill="D5DBE3"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Age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52</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Independent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Yes</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Director since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2023</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Class I Director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Term Expires in 2026</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Board Committees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Compensation and Human Capital</w:t>
            </w:r>
          </w:p>
          <w:p>
            <w:pPr>
              <w:pStyle w:val="TableContents"/>
              <w:bidi w:val="0"/>
              <w:spacing w:before="0" w:after="20"/>
              <w:jc w:val="left"/>
              <w:rPr/>
            </w:pPr>
            <w:r>
              <w:rPr/>
              <w:t>●   </w:t>
            </w:r>
            <w:r>
              <w:rPr>
                <w:rFonts w:ascii="arial" w:hAnsi="arial"/>
                <w:sz w:val="20"/>
              </w:rPr>
              <w:t>Nominating and Corporate Governance</w:t>
            </w:r>
          </w:p>
        </w:tc>
        <w:tc>
          <w:tcPr>
            <w:tcW w:w="120" w:type="dxa"/>
            <w:tcBorders/>
            <w:vAlign w:val="center"/>
          </w:tcPr>
          <w:p>
            <w:pPr>
              <w:pStyle w:val="TableContents"/>
              <w:bidi w:val="0"/>
              <w:spacing w:before="0" w:after="283"/>
              <w:jc w:val="left"/>
              <w:rPr/>
            </w:pPr>
            <w:r>
              <w:rPr/>
              <w:t>  </w:t>
            </w:r>
          </w:p>
        </w:tc>
        <w:tc>
          <w:tcPr>
            <w:tcW w:w="6988"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Occupation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Encova Mutual Insurance Group, Inc., a mutual insurance holding company providing a comprehensive range of insurance products</w:t>
            </w:r>
          </w:p>
          <w:p>
            <w:pPr>
              <w:pStyle w:val="TableContents"/>
              <w:bidi w:val="0"/>
              <w:spacing w:before="0" w:after="0"/>
              <w:jc w:val="left"/>
              <w:rPr>
                <w:rFonts w:ascii="arial" w:hAnsi="arial"/>
                <w:sz w:val="20"/>
              </w:rPr>
            </w:pPr>
            <w:r>
              <w:rPr>
                <w:rFonts w:ascii="arial" w:hAnsi="arial"/>
                <w:sz w:val="20"/>
              </w:rPr>
              <w:t>Senior Vice President, External Affairs and Chief Inclusion and Belonging Officer (December 2022-present)</w:t>
            </w:r>
          </w:p>
          <w:p>
            <w:pPr>
              <w:pStyle w:val="TableContents"/>
              <w:bidi w:val="0"/>
              <w:spacing w:before="0" w:after="0"/>
              <w:jc w:val="left"/>
              <w:rPr>
                <w:rFonts w:ascii="arial" w:hAnsi="arial"/>
                <w:sz w:val="20"/>
              </w:rPr>
            </w:pPr>
            <w:r>
              <w:rPr>
                <w:rFonts w:ascii="arial" w:hAnsi="arial"/>
                <w:sz w:val="20"/>
              </w:rPr>
              <w:t>Encova Foundation of Ohio, its affiliated philanthropic foundation President (December 2022-present)</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Education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The Ohio State University, B.A. in English</w:t>
            </w:r>
          </w:p>
          <w:p>
            <w:pPr>
              <w:pStyle w:val="TableContents"/>
              <w:bidi w:val="0"/>
              <w:spacing w:before="0" w:after="0"/>
              <w:jc w:val="left"/>
              <w:rPr>
                <w:rFonts w:ascii="arial" w:hAnsi="arial"/>
                <w:sz w:val="20"/>
              </w:rPr>
            </w:pPr>
            <w:r>
              <w:rPr>
                <w:rFonts w:ascii="arial" w:hAnsi="arial"/>
                <w:sz w:val="20"/>
              </w:rPr>
              <w:t>The Ohio State University Moritz College of Law, J.D.</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Experience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Encova Mutual Insurance Group, Inc., a mutual insurance holding company providing a comprehensive range of insurance products, Senior Vice President, Chief Legal Officer &amp; Corporate Secretary (October 2017-December 2022)</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Motorists Insurance Group (now Encova Mutual Insurance Group, Inc.), Senior Vice President, Chief Legal Officer &amp; General Counsel</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Central Ohio Transit Authority, Vice President of Legal and Government Affairs and General Counsel</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Central Ohio Transit Authority, Interim Vice President of Human Resources and Labor Relations</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Other Board Service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The Columbus Foundation/Community Foundations, Inc., a non-profit community foundation (January 2021-present)</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Encova Foundation of Ohio (formerly The Motorists Insurance Companies Foundation), a non-profit corporate foundation, (April 2018-present), president (December 2022-present)</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CampusParc Management, Inc./OSU Management GP, Inc., corporation created to manage the OSU parking system (2017-July 2021)</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Iowa American Insurance Company (May 2018-June 2020), MICO Insurance Company (April 2018-June 2020) and IMARC, LLC (May 2018-May 2020), each a for profit affiliate of Encova Mutual Insurance Group, Inc.</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Qualifications and Skills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Ms. Moore’s executive leadership and general counsel experience in the insurance and public transportation industries bring to the Board mergers and acquisitions, corporate governance, risk management and strategic and operational skills. Ms. Moore’s roles as Chief Diversity Officer and Interim Vice President of Human Resources and her service on charitable boards provide valuable insight on community engagement, charitable giving, human capital management and inclusion and belonging.</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1 – Election of Directors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21"/>
        <w:gridCol w:w="120"/>
        <w:gridCol w:w="7064"/>
      </w:tblGrid>
      <w:tr>
        <w:trPr/>
        <w:tc>
          <w:tcPr>
            <w:tcW w:w="30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64" w:type="dxa"/>
            <w:tcBorders/>
            <w:vAlign w:val="center"/>
          </w:tcPr>
          <w:p>
            <w:pPr>
              <w:pStyle w:val="TableContents"/>
              <w:bidi w:val="0"/>
              <w:spacing w:before="0" w:after="283"/>
              <w:jc w:val="left"/>
              <w:rPr>
                <w:sz w:val="4"/>
                <w:szCs w:val="4"/>
              </w:rPr>
            </w:pPr>
            <w:r>
              <w:rPr>
                <w:sz w:val="4"/>
                <w:szCs w:val="4"/>
              </w:rPr>
            </w:r>
          </w:p>
        </w:tc>
      </w:tr>
      <w:tr>
        <w:trPr/>
        <w:tc>
          <w:tcPr>
            <w:tcW w:w="3021" w:type="dxa"/>
            <w:tcBorders/>
            <w:vAlign w:val="center"/>
          </w:tcPr>
          <w:p>
            <w:pPr>
              <w:pStyle w:val="TableContents"/>
              <w:bidi w:val="0"/>
              <w:spacing w:before="0" w:after="283"/>
              <w:jc w:val="center"/>
              <w:rPr/>
            </w:pPr>
            <w:r>
              <w:rPr/>
              <w:drawing>
                <wp:inline distT="0" distB="0" distL="0" distR="0">
                  <wp:extent cx="1905000" cy="1524000"/>
                  <wp:effectExtent l="0" t="0" r="0" b="0"/>
                  <wp:docPr id="5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1" descr=""/>
                          <pic:cNvPicPr>
                            <a:picLocks noChangeAspect="1" noChangeArrowheads="1"/>
                          </pic:cNvPicPr>
                        </pic:nvPicPr>
                        <pic:blipFill>
                          <a:blip r:embed="rId52"/>
                          <a:stretch>
                            <a:fillRect/>
                          </a:stretch>
                        </pic:blipFill>
                        <pic:spPr bwMode="auto">
                          <a:xfrm>
                            <a:off x="0" y="0"/>
                            <a:ext cx="1905000" cy="15240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64" w:type="dxa"/>
            <w:tcBorders/>
            <w:vAlign w:val="center"/>
          </w:tcPr>
          <w:p>
            <w:pPr>
              <w:pStyle w:val="TableContents"/>
              <w:bidi w:val="0"/>
              <w:spacing w:before="0" w:after="0"/>
              <w:jc w:val="left"/>
              <w:rPr>
                <w:rFonts w:ascii="arial" w:hAnsi="arial"/>
                <w:b/>
                <w:color w:val="1070B8"/>
                <w:sz w:val="52"/>
              </w:rPr>
            </w:pPr>
            <w:r>
              <w:rPr>
                <w:rFonts w:ascii="arial" w:hAnsi="arial"/>
                <w:b/>
                <w:color w:val="1070B8"/>
                <w:sz w:val="52"/>
              </w:rPr>
              <w:t>Robert H. Schottenstein</w:t>
            </w:r>
          </w:p>
          <w:p>
            <w:pPr>
              <w:pStyle w:val="TableContents"/>
              <w:bidi w:val="0"/>
              <w:spacing w:before="0" w:after="20"/>
              <w:jc w:val="left"/>
              <w:rPr>
                <w:rFonts w:ascii="arial" w:hAnsi="arial"/>
                <w:i/>
                <w:color w:val="1070B8"/>
                <w:sz w:val="36"/>
              </w:rPr>
            </w:pPr>
            <w:r>
              <w:rPr>
                <w:rFonts w:ascii="arial" w:hAnsi="arial"/>
                <w:i/>
                <w:color w:val="1070B8"/>
                <w:sz w:val="36"/>
              </w:rPr>
              <w:t>Continuing Director</w:t>
            </w:r>
          </w:p>
        </w:tc>
      </w:tr>
      <w:tr>
        <w:trPr/>
        <w:tc>
          <w:tcPr>
            <w:tcW w:w="3021" w:type="dxa"/>
            <w:tcBorders/>
            <w:shd w:fill="D5DBE3"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Age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72</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Independent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Yes</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Director since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2022</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Class I Director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Term Expires in 2026</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Board Committees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None</w:t>
            </w:r>
          </w:p>
        </w:tc>
        <w:tc>
          <w:tcPr>
            <w:tcW w:w="120" w:type="dxa"/>
            <w:tcBorders/>
            <w:vAlign w:val="center"/>
          </w:tcPr>
          <w:p>
            <w:pPr>
              <w:pStyle w:val="TableContents"/>
              <w:bidi w:val="0"/>
              <w:spacing w:before="0" w:after="283"/>
              <w:jc w:val="left"/>
              <w:rPr/>
            </w:pPr>
            <w:r>
              <w:rPr/>
              <w:t>  </w:t>
            </w:r>
          </w:p>
        </w:tc>
        <w:tc>
          <w:tcPr>
            <w:tcW w:w="7064"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Occupation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M/I Homes, Inc., one of the largest publicly traded home builders in the U.S. Chairman (2004-present), Chief Executive Officer (2004-present) and President (1996-present)</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Education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Indiana University, B.A.</w:t>
            </w:r>
          </w:p>
          <w:p>
            <w:pPr>
              <w:pStyle w:val="TableContents"/>
              <w:bidi w:val="0"/>
              <w:spacing w:before="0" w:after="0"/>
              <w:jc w:val="left"/>
              <w:rPr>
                <w:rFonts w:ascii="arial" w:hAnsi="arial"/>
                <w:sz w:val="20"/>
              </w:rPr>
            </w:pPr>
            <w:r>
              <w:rPr>
                <w:rFonts w:ascii="arial" w:hAnsi="arial"/>
                <w:sz w:val="20"/>
              </w:rPr>
              <w:t>Capital University Law School, J.D.</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Experience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Private practice of law specializing in commercial real estate, corporate and banking transactions (1977-1990)</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Other Board Service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Served as a director of our Company (April 2014–March 2020)</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L Brands, a publicly traded leading specialty retailer focused on women’s apparel, personal care, beauty and home fragrance categories, audit committee (August 2017–May 2022)</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The Ohio State University Wexner Medical Center</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The Ohio State University Foundation</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The Policy Advisory Board of Harvard University’s Joint Center for Housing Studies, Chair</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Pelotonia, Chair</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The Columbus Partnership</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Qualifications and Skills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Schottenstein’s more than 30 years of experience in the homebuilding industry brings to the Board expertise and valuable insight into the housing, construction and building materials industries. Mr. Schottenstein’s executive leadership, capital structure experience and service on public company boards are advantageous to the Board in exercising its strategic, operational, risk and human capital management oversight responsibilities.</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1 – Election of Directors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231"/>
        <w:gridCol w:w="120"/>
        <w:gridCol w:w="6854"/>
      </w:tblGrid>
      <w:tr>
        <w:trPr/>
        <w:tc>
          <w:tcPr>
            <w:tcW w:w="32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54" w:type="dxa"/>
            <w:tcBorders/>
            <w:vAlign w:val="center"/>
          </w:tcPr>
          <w:p>
            <w:pPr>
              <w:pStyle w:val="TableContents"/>
              <w:bidi w:val="0"/>
              <w:spacing w:before="0" w:after="283"/>
              <w:jc w:val="left"/>
              <w:rPr>
                <w:sz w:val="4"/>
                <w:szCs w:val="4"/>
              </w:rPr>
            </w:pPr>
            <w:r>
              <w:rPr>
                <w:sz w:val="4"/>
                <w:szCs w:val="4"/>
              </w:rPr>
            </w:r>
          </w:p>
        </w:tc>
      </w:tr>
      <w:tr>
        <w:trPr/>
        <w:tc>
          <w:tcPr>
            <w:tcW w:w="3231" w:type="dxa"/>
            <w:tcBorders/>
            <w:vAlign w:val="center"/>
          </w:tcPr>
          <w:p>
            <w:pPr>
              <w:pStyle w:val="TableContents"/>
              <w:bidi w:val="0"/>
              <w:spacing w:before="0" w:after="283"/>
              <w:jc w:val="center"/>
              <w:rPr/>
            </w:pPr>
            <w:r>
              <w:rPr/>
              <w:drawing>
                <wp:inline distT="0" distB="0" distL="0" distR="0">
                  <wp:extent cx="1905000" cy="1524000"/>
                  <wp:effectExtent l="0" t="0" r="0" b="0"/>
                  <wp:docPr id="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2" descr=""/>
                          <pic:cNvPicPr>
                            <a:picLocks noChangeAspect="1" noChangeArrowheads="1"/>
                          </pic:cNvPicPr>
                        </pic:nvPicPr>
                        <pic:blipFill>
                          <a:blip r:embed="rId53"/>
                          <a:stretch>
                            <a:fillRect/>
                          </a:stretch>
                        </pic:blipFill>
                        <pic:spPr bwMode="auto">
                          <a:xfrm>
                            <a:off x="0" y="0"/>
                            <a:ext cx="1905000" cy="15240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854" w:type="dxa"/>
            <w:tcBorders/>
            <w:vAlign w:val="center"/>
          </w:tcPr>
          <w:p>
            <w:pPr>
              <w:pStyle w:val="TableContents"/>
              <w:bidi w:val="0"/>
              <w:spacing w:before="0" w:after="0"/>
              <w:jc w:val="left"/>
              <w:rPr>
                <w:rFonts w:ascii="arial" w:hAnsi="arial"/>
                <w:b/>
                <w:color w:val="1070B8"/>
                <w:sz w:val="52"/>
              </w:rPr>
            </w:pPr>
            <w:r>
              <w:rPr>
                <w:rFonts w:ascii="arial" w:hAnsi="arial"/>
                <w:b/>
                <w:color w:val="1070B8"/>
                <w:sz w:val="52"/>
              </w:rPr>
              <w:t>Margot L. Carter</w:t>
            </w:r>
          </w:p>
          <w:p>
            <w:pPr>
              <w:pStyle w:val="TableContents"/>
              <w:bidi w:val="0"/>
              <w:spacing w:before="0" w:after="20"/>
              <w:jc w:val="left"/>
              <w:rPr>
                <w:rFonts w:ascii="arial" w:hAnsi="arial"/>
                <w:i/>
                <w:color w:val="1070B8"/>
                <w:sz w:val="36"/>
              </w:rPr>
            </w:pPr>
            <w:r>
              <w:rPr>
                <w:rFonts w:ascii="arial" w:hAnsi="arial"/>
                <w:i/>
                <w:color w:val="1070B8"/>
                <w:sz w:val="36"/>
              </w:rPr>
              <w:t>Continuing Director</w:t>
            </w:r>
          </w:p>
        </w:tc>
      </w:tr>
      <w:tr>
        <w:trPr/>
        <w:tc>
          <w:tcPr>
            <w:tcW w:w="3231" w:type="dxa"/>
            <w:tcBorders/>
            <w:shd w:fill="D5DBE3"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Age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57</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Presiding Independent</w:t>
            </w:r>
          </w:p>
          <w:p>
            <w:pPr>
              <w:pStyle w:val="TableContents"/>
              <w:bidi w:val="0"/>
              <w:spacing w:before="0" w:after="0"/>
              <w:jc w:val="left"/>
              <w:rPr>
                <w:rFonts w:ascii="arial" w:hAnsi="arial"/>
                <w:b/>
                <w:color w:val="1F295C"/>
                <w:sz w:val="20"/>
              </w:rPr>
            </w:pPr>
            <w:r>
              <w:rPr>
                <w:rFonts w:ascii="arial" w:hAnsi="arial"/>
                <w:b/>
                <w:color w:val="1F295C"/>
                <w:sz w:val="20"/>
              </w:rPr>
              <w:t>Director since 2015</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Independent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Yes</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Director Since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2014</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Class II Director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Term Expires in 2027</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Board Committees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Audit</w:t>
            </w:r>
          </w:p>
          <w:p>
            <w:pPr>
              <w:pStyle w:val="TableContents"/>
              <w:bidi w:val="0"/>
              <w:spacing w:before="0" w:after="20"/>
              <w:jc w:val="left"/>
              <w:rPr/>
            </w:pPr>
            <w:r>
              <w:rPr/>
              <w:t>●   </w:t>
            </w:r>
            <w:r>
              <w:rPr>
                <w:rFonts w:ascii="arial" w:hAnsi="arial"/>
                <w:sz w:val="20"/>
              </w:rPr>
              <w:t>Nominating and Corporate Governance (Chair)</w:t>
            </w:r>
          </w:p>
        </w:tc>
        <w:tc>
          <w:tcPr>
            <w:tcW w:w="120" w:type="dxa"/>
            <w:tcBorders/>
            <w:vAlign w:val="center"/>
          </w:tcPr>
          <w:p>
            <w:pPr>
              <w:pStyle w:val="TableContents"/>
              <w:bidi w:val="0"/>
              <w:spacing w:before="0" w:after="283"/>
              <w:jc w:val="left"/>
              <w:rPr/>
            </w:pPr>
            <w:r>
              <w:rPr/>
              <w:t>  </w:t>
            </w:r>
          </w:p>
        </w:tc>
        <w:tc>
          <w:tcPr>
            <w:tcW w:w="6854"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Occupation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Living Mountain Capital L.L.C., a business advisory consulting firm</w:t>
            </w:r>
          </w:p>
          <w:p>
            <w:pPr>
              <w:pStyle w:val="TableContents"/>
              <w:bidi w:val="0"/>
              <w:spacing w:before="0" w:after="0"/>
              <w:jc w:val="left"/>
              <w:rPr>
                <w:rFonts w:ascii="arial" w:hAnsi="arial"/>
                <w:sz w:val="20"/>
              </w:rPr>
            </w:pPr>
            <w:r>
              <w:rPr>
                <w:rFonts w:ascii="arial" w:hAnsi="arial"/>
                <w:sz w:val="20"/>
              </w:rPr>
              <w:t>President and Founder (1998–present)</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Education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Binghamton University, B.A. in Economics and History</w:t>
            </w:r>
          </w:p>
          <w:p>
            <w:pPr>
              <w:pStyle w:val="TableContents"/>
              <w:bidi w:val="0"/>
              <w:spacing w:before="0" w:after="0"/>
              <w:jc w:val="left"/>
              <w:rPr>
                <w:rFonts w:ascii="arial" w:hAnsi="arial"/>
                <w:sz w:val="20"/>
              </w:rPr>
            </w:pPr>
            <w:r>
              <w:rPr>
                <w:rFonts w:ascii="arial" w:hAnsi="arial"/>
                <w:sz w:val="20"/>
              </w:rPr>
              <w:t>Fordham University School of Law, J.D.</w:t>
            </w:r>
          </w:p>
          <w:p>
            <w:pPr>
              <w:pStyle w:val="TableContents"/>
              <w:bidi w:val="0"/>
              <w:spacing w:before="0" w:after="0"/>
              <w:jc w:val="left"/>
              <w:rPr>
                <w:rFonts w:ascii="arial" w:hAnsi="arial"/>
                <w:sz w:val="20"/>
              </w:rPr>
            </w:pPr>
            <w:r>
              <w:rPr>
                <w:rFonts w:ascii="arial" w:hAnsi="arial"/>
                <w:sz w:val="20"/>
              </w:rPr>
              <w:t>MIT Sloan School of Management, Executive Certificate - Artificial Intelligence</w:t>
            </w:r>
          </w:p>
          <w:p>
            <w:pPr>
              <w:pStyle w:val="TableContents"/>
              <w:bidi w:val="0"/>
              <w:spacing w:before="0" w:after="0"/>
              <w:jc w:val="left"/>
              <w:rPr>
                <w:rFonts w:ascii="arial" w:hAnsi="arial"/>
                <w:sz w:val="20"/>
              </w:rPr>
            </w:pPr>
            <w:r>
              <w:rPr>
                <w:rFonts w:ascii="arial" w:hAnsi="arial"/>
                <w:sz w:val="20"/>
              </w:rPr>
              <w:t>Southern Methodist University Cox Business School, Certificate - Finance</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Experience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RealPage, Inc., a leading global software and data analytics company for the real estate industry, Executive Vice President, Chief Legal Officer and Secretary</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The Princeton Review, Inc., a global education technology company, Executive Vice President and General Counsel</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Soundview Technology Group, Inc., a global technology financial services firm, Executive Vice President, General Counsel and Executive Managing Director</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Cantor Fitzgerald and eSpeed, Inc., a global capital markets, financial services and technology company, Assistant General Counsel</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Other Board Service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Eagle Materials, Inc., a publicly traded leading provider of building materials (2017-present), compensation and corporate governance and nominating committees (2017-present), audit committee (2017-2019)</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Tyler Technologies, Inc., a publicly traded leading provider of integrated software and technology services for the public sector (May 2024-present), nominating and governance committee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Interior Logic Group, a technology enabled building materials business (2017-2021)</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North Texas Chapter of National Association of Corporate Directors (2016–present), Chair (July 2022-July 2023), Chair Emeritus (July 2023–present); NACD Director Certified</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Qualifications and Skills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Ms. Carter’s executive and leadership experience as a C-suite executive and director of public companies in the technology, real estate and building materials industries provide insight into the dynamics of a corporate board, strategic planning, technology, cybersecurity, mergers and acquisitions, risk oversight, human capital management and environmental, social and governance issues.</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1 – Election of Directors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63"/>
        <w:gridCol w:w="120"/>
        <w:gridCol w:w="7022"/>
      </w:tblGrid>
      <w:tr>
        <w:trPr/>
        <w:tc>
          <w:tcPr>
            <w:tcW w:w="30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22" w:type="dxa"/>
            <w:tcBorders/>
            <w:vAlign w:val="center"/>
          </w:tcPr>
          <w:p>
            <w:pPr>
              <w:pStyle w:val="TableContents"/>
              <w:bidi w:val="0"/>
              <w:spacing w:before="0" w:after="283"/>
              <w:jc w:val="left"/>
              <w:rPr>
                <w:sz w:val="4"/>
                <w:szCs w:val="4"/>
              </w:rPr>
            </w:pPr>
            <w:r>
              <w:rPr>
                <w:sz w:val="4"/>
                <w:szCs w:val="4"/>
              </w:rPr>
            </w:r>
          </w:p>
        </w:tc>
      </w:tr>
      <w:tr>
        <w:trPr/>
        <w:tc>
          <w:tcPr>
            <w:tcW w:w="3063" w:type="dxa"/>
            <w:tcBorders/>
            <w:vAlign w:val="center"/>
          </w:tcPr>
          <w:p>
            <w:pPr>
              <w:pStyle w:val="TableContents"/>
              <w:bidi w:val="0"/>
              <w:spacing w:before="0" w:after="283"/>
              <w:jc w:val="center"/>
              <w:rPr/>
            </w:pPr>
            <w:r>
              <w:rPr/>
              <w:drawing>
                <wp:inline distT="0" distB="0" distL="0" distR="0">
                  <wp:extent cx="1905000" cy="1524000"/>
                  <wp:effectExtent l="0" t="0" r="0" b="0"/>
                  <wp:docPr id="5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3" descr=""/>
                          <pic:cNvPicPr>
                            <a:picLocks noChangeAspect="1" noChangeArrowheads="1"/>
                          </pic:cNvPicPr>
                        </pic:nvPicPr>
                        <pic:blipFill>
                          <a:blip r:embed="rId54"/>
                          <a:stretch>
                            <a:fillRect/>
                          </a:stretch>
                        </pic:blipFill>
                        <pic:spPr bwMode="auto">
                          <a:xfrm>
                            <a:off x="0" y="0"/>
                            <a:ext cx="1905000" cy="15240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22" w:type="dxa"/>
            <w:tcBorders/>
            <w:vAlign w:val="center"/>
          </w:tcPr>
          <w:p>
            <w:pPr>
              <w:pStyle w:val="TableContents"/>
              <w:bidi w:val="0"/>
              <w:spacing w:before="0" w:after="0"/>
              <w:jc w:val="left"/>
              <w:rPr>
                <w:rFonts w:ascii="arial" w:hAnsi="arial"/>
                <w:b/>
                <w:color w:val="1070B8"/>
                <w:sz w:val="52"/>
              </w:rPr>
            </w:pPr>
            <w:r>
              <w:rPr>
                <w:rFonts w:ascii="arial" w:hAnsi="arial"/>
                <w:b/>
                <w:color w:val="1070B8"/>
                <w:sz w:val="52"/>
              </w:rPr>
              <w:t>David R. Meuse</w:t>
            </w:r>
          </w:p>
          <w:p>
            <w:pPr>
              <w:pStyle w:val="TableContents"/>
              <w:bidi w:val="0"/>
              <w:spacing w:before="0" w:after="20"/>
              <w:jc w:val="left"/>
              <w:rPr>
                <w:rFonts w:ascii="arial" w:hAnsi="arial"/>
                <w:i/>
                <w:color w:val="1070B8"/>
                <w:sz w:val="36"/>
              </w:rPr>
            </w:pPr>
            <w:r>
              <w:rPr>
                <w:rFonts w:ascii="arial" w:hAnsi="arial"/>
                <w:i/>
                <w:color w:val="1070B8"/>
                <w:sz w:val="36"/>
              </w:rPr>
              <w:t>Continuing Director</w:t>
            </w:r>
          </w:p>
        </w:tc>
      </w:tr>
      <w:tr>
        <w:trPr/>
        <w:tc>
          <w:tcPr>
            <w:tcW w:w="3063" w:type="dxa"/>
            <w:tcBorders/>
            <w:shd w:fill="D5DBE3"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Age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79</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Independent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Yes</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Director since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2020</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Class II Director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Term Expires in 2027</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Board Committees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Compensation and Human Capital</w:t>
            </w:r>
          </w:p>
        </w:tc>
        <w:tc>
          <w:tcPr>
            <w:tcW w:w="120" w:type="dxa"/>
            <w:tcBorders/>
            <w:vAlign w:val="center"/>
          </w:tcPr>
          <w:p>
            <w:pPr>
              <w:pStyle w:val="TableContents"/>
              <w:bidi w:val="0"/>
              <w:spacing w:before="0" w:after="283"/>
              <w:jc w:val="left"/>
              <w:rPr/>
            </w:pPr>
            <w:r>
              <w:rPr/>
              <w:t>  </w:t>
            </w:r>
          </w:p>
        </w:tc>
        <w:tc>
          <w:tcPr>
            <w:tcW w:w="7022"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Occupation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Stonehenge Partners, Inc., a privately held mezzanine and equity investment firm and provider of financial and advisory services</w:t>
            </w:r>
          </w:p>
          <w:p>
            <w:pPr>
              <w:pStyle w:val="TableContents"/>
              <w:bidi w:val="0"/>
              <w:spacing w:before="0" w:after="0"/>
              <w:jc w:val="left"/>
              <w:rPr>
                <w:rFonts w:ascii="arial" w:hAnsi="arial"/>
                <w:sz w:val="20"/>
              </w:rPr>
            </w:pPr>
            <w:r>
              <w:rPr>
                <w:rFonts w:ascii="arial" w:hAnsi="arial"/>
                <w:sz w:val="20"/>
              </w:rPr>
              <w:t>Senior Advisor (2018–present)</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Education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John Carroll University, B.A. in Political Science and Philosophy</w:t>
            </w:r>
          </w:p>
          <w:p>
            <w:pPr>
              <w:pStyle w:val="TableContents"/>
              <w:bidi w:val="0"/>
              <w:spacing w:before="0" w:after="0"/>
              <w:jc w:val="left"/>
              <w:rPr>
                <w:rFonts w:ascii="arial" w:hAnsi="arial"/>
                <w:sz w:val="20"/>
              </w:rPr>
            </w:pPr>
            <w:r>
              <w:rPr>
                <w:rFonts w:ascii="arial" w:hAnsi="arial"/>
                <w:sz w:val="20"/>
              </w:rPr>
              <w:t>Cleveland Marshall College of Law</w:t>
            </w:r>
          </w:p>
          <w:p>
            <w:pPr>
              <w:pStyle w:val="TableContents"/>
              <w:bidi w:val="0"/>
              <w:spacing w:before="0" w:after="0"/>
              <w:jc w:val="left"/>
              <w:rPr>
                <w:rFonts w:ascii="arial" w:hAnsi="arial"/>
                <w:sz w:val="20"/>
              </w:rPr>
            </w:pPr>
            <w:r>
              <w:rPr>
                <w:rFonts w:ascii="arial" w:hAnsi="arial"/>
                <w:sz w:val="20"/>
              </w:rPr>
              <w:t>Wharton School of Business, Securities Industry Institute</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Experience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Banc One Capital Holdings Corporation, holding company for the investment banking, merchant banking, securities brokerage, investment advisory and insurance activities of Bank One Corporation, Chairman and Chief Executive Officer</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Meuse, Rinker, Chapman, Endres &amp; Brooks, a regional investment banking firm, Chairman and Chief Executive Officer</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Diamond Hill Investment Group, Inc., a publicly traded company providing investment advisory and fund administration services, Chairman</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State Auto Financial Corporation, a publicly traded casualty insurance holding company engaged in writing personal and business insurance, lead director (May 2015-February 2022), audit, independent and investment and finance committees (2006-February 2022)</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Other Board Service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Service on non-profit boards, including REV Ventures and The Columbus Foundation, a nonprofit community foundation</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Qualifications and Skills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Meuse’s more than 40 years of experience in the investment banking, merchant banking, securities brokerage and private equity industries bring to the board expertise in financial markets, capital structure and mergers and acquisitions. Mr. Meuse’s executive leadership roles throughout his career and his public company board experience also provide the board with risk management, strategic and operational and governance skillsets.</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1 – Election of Directors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24"/>
        <w:gridCol w:w="120"/>
        <w:gridCol w:w="7061"/>
      </w:tblGrid>
      <w:tr>
        <w:trPr/>
        <w:tc>
          <w:tcPr>
            <w:tcW w:w="30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61" w:type="dxa"/>
            <w:tcBorders/>
            <w:vAlign w:val="center"/>
          </w:tcPr>
          <w:p>
            <w:pPr>
              <w:pStyle w:val="TableContents"/>
              <w:bidi w:val="0"/>
              <w:spacing w:before="0" w:after="283"/>
              <w:jc w:val="left"/>
              <w:rPr>
                <w:sz w:val="4"/>
                <w:szCs w:val="4"/>
              </w:rPr>
            </w:pPr>
            <w:r>
              <w:rPr>
                <w:sz w:val="4"/>
                <w:szCs w:val="4"/>
              </w:rPr>
            </w:r>
          </w:p>
        </w:tc>
      </w:tr>
      <w:tr>
        <w:trPr/>
        <w:tc>
          <w:tcPr>
            <w:tcW w:w="3024" w:type="dxa"/>
            <w:tcBorders/>
            <w:vAlign w:val="center"/>
          </w:tcPr>
          <w:p>
            <w:pPr>
              <w:pStyle w:val="TableContents"/>
              <w:bidi w:val="0"/>
              <w:spacing w:before="0" w:after="283"/>
              <w:jc w:val="center"/>
              <w:rPr/>
            </w:pPr>
            <w:r>
              <w:rPr/>
              <w:drawing>
                <wp:inline distT="0" distB="0" distL="0" distR="0">
                  <wp:extent cx="1905000" cy="1524000"/>
                  <wp:effectExtent l="0" t="0" r="0" b="0"/>
                  <wp:docPr id="5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4" descr=""/>
                          <pic:cNvPicPr>
                            <a:picLocks noChangeAspect="1" noChangeArrowheads="1"/>
                          </pic:cNvPicPr>
                        </pic:nvPicPr>
                        <pic:blipFill>
                          <a:blip r:embed="rId55"/>
                          <a:stretch>
                            <a:fillRect/>
                          </a:stretch>
                        </pic:blipFill>
                        <pic:spPr bwMode="auto">
                          <a:xfrm>
                            <a:off x="0" y="0"/>
                            <a:ext cx="1905000" cy="15240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61" w:type="dxa"/>
            <w:tcBorders/>
            <w:vAlign w:val="center"/>
          </w:tcPr>
          <w:p>
            <w:pPr>
              <w:pStyle w:val="TableContents"/>
              <w:bidi w:val="0"/>
              <w:spacing w:before="0" w:after="0"/>
              <w:jc w:val="left"/>
              <w:rPr>
                <w:rFonts w:ascii="arial" w:hAnsi="arial"/>
                <w:b/>
                <w:color w:val="1070B8"/>
                <w:sz w:val="52"/>
              </w:rPr>
            </w:pPr>
            <w:r>
              <w:rPr>
                <w:rFonts w:ascii="arial" w:hAnsi="arial"/>
                <w:b/>
                <w:color w:val="1070B8"/>
                <w:sz w:val="52"/>
              </w:rPr>
              <w:t>Michael H. Thomas</w:t>
            </w:r>
          </w:p>
          <w:p>
            <w:pPr>
              <w:pStyle w:val="TableContents"/>
              <w:bidi w:val="0"/>
              <w:spacing w:before="0" w:after="20"/>
              <w:jc w:val="left"/>
              <w:rPr>
                <w:rFonts w:ascii="arial" w:hAnsi="arial"/>
                <w:i/>
                <w:color w:val="1070B8"/>
                <w:sz w:val="36"/>
              </w:rPr>
            </w:pPr>
            <w:r>
              <w:rPr>
                <w:rFonts w:ascii="arial" w:hAnsi="arial"/>
                <w:i/>
                <w:color w:val="1070B8"/>
                <w:sz w:val="36"/>
              </w:rPr>
              <w:t>Continuing Director</w:t>
            </w:r>
          </w:p>
        </w:tc>
      </w:tr>
      <w:tr>
        <w:trPr/>
        <w:tc>
          <w:tcPr>
            <w:tcW w:w="3024" w:type="dxa"/>
            <w:tcBorders/>
            <w:shd w:fill="D5DBE3"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Age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75</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Independent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Yes</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Director since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2014</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Class II Director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Term Expires in 2027</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Board Committees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Audit</w:t>
            </w:r>
          </w:p>
        </w:tc>
        <w:tc>
          <w:tcPr>
            <w:tcW w:w="120" w:type="dxa"/>
            <w:tcBorders/>
            <w:vAlign w:val="center"/>
          </w:tcPr>
          <w:p>
            <w:pPr>
              <w:pStyle w:val="TableContents"/>
              <w:bidi w:val="0"/>
              <w:spacing w:before="0" w:after="283"/>
              <w:jc w:val="left"/>
              <w:rPr/>
            </w:pPr>
            <w:r>
              <w:rPr/>
              <w:t>  </w:t>
            </w:r>
          </w:p>
        </w:tc>
        <w:tc>
          <w:tcPr>
            <w:tcW w:w="7061"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Occupation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Stonehenge Partners, Inc., privately held mezzanine and equity investment firm and provider of financial and advisory services</w:t>
            </w:r>
          </w:p>
          <w:p>
            <w:pPr>
              <w:pStyle w:val="TableContents"/>
              <w:bidi w:val="0"/>
              <w:spacing w:before="0" w:after="0"/>
              <w:jc w:val="left"/>
              <w:rPr>
                <w:rFonts w:ascii="arial" w:hAnsi="arial"/>
                <w:sz w:val="20"/>
              </w:rPr>
            </w:pPr>
            <w:r>
              <w:rPr>
                <w:rFonts w:ascii="arial" w:hAnsi="arial"/>
                <w:sz w:val="20"/>
              </w:rPr>
              <w:t>Retired partner, provided counsel in investment origination, portfolio asset management and disposition of investments (1999-2014)</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Education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University of Notre Dame, B.A. in Business Administration</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Experience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JMAC, Inc., privately held investment company, directing investments in the financial services, publishing, health care, real estate and manufacturing sectors and responsible for the owners’ financial, estate and income tax planning, Executive Vice President and Treasurer</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Ernst &amp; Young LLP Columbus, Ohio tax practice, Manager</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Other Board Service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Served as a director of the Company’s predecessor (2004-2011)</w:t>
            </w:r>
          </w:p>
          <w:p>
            <w:pPr>
              <w:pStyle w:val="TableContents"/>
              <w:bidi w:val="0"/>
              <w:spacing w:before="0" w:after="0"/>
              <w:jc w:val="left"/>
              <w:rPr/>
            </w:pPr>
            <w:r>
              <w:rPr/>
              <w:t> </w:t>
            </w:r>
          </w:p>
          <w:p>
            <w:pPr>
              <w:pStyle w:val="TableContents"/>
              <w:bidi w:val="0"/>
              <w:spacing w:before="0" w:after="0"/>
              <w:jc w:val="left"/>
              <w:rPr>
                <w:rFonts w:ascii="arial" w:hAnsi="arial"/>
                <w:b/>
                <w:color w:val="1F295C"/>
                <w:sz w:val="20"/>
              </w:rPr>
            </w:pPr>
            <w:r>
              <w:rPr>
                <w:rFonts w:ascii="arial" w:hAnsi="arial"/>
                <w:b/>
                <w:color w:val="1F295C"/>
                <w:sz w:val="20"/>
              </w:rPr>
              <w:t>Qualifications and Skills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Thomas’ significant business and investment experience brings to the Board executive leadership, capital structure, mergers and acquisitions, risk management and human capital skills. His longstanding service as a board member of the Company and its predecessor gives him a broad perspective of the housing industry and the Company’s culture and business strategy and risk oversight.</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1 – Election of Directors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18" w:name="toc849638_19"/>
      <w:bookmarkEnd w:id="18"/>
      <w:r>
        <w:rPr>
          <w:rFonts w:ascii="arial" w:hAnsi="arial"/>
          <w:b/>
          <w:color w:val="1F295C"/>
          <w:sz w:val="24"/>
        </w:rPr>
        <w:t xml:space="preserve">Director Compensation </w:t>
      </w:r>
    </w:p>
    <w:p>
      <w:pPr>
        <w:pStyle w:val="TextBody"/>
        <w:bidi w:val="0"/>
        <w:spacing w:before="240" w:after="0"/>
        <w:jc w:val="left"/>
        <w:rPr>
          <w:rFonts w:ascii="arial" w:hAnsi="arial"/>
          <w:sz w:val="20"/>
        </w:rPr>
      </w:pPr>
      <w:r>
        <w:rPr>
          <w:rFonts w:ascii="arial" w:hAnsi="arial"/>
          <w:sz w:val="20"/>
        </w:rPr>
        <w:t xml:space="preserve">The Board of Directors annually reviews and determines the compensation of our non-employee directors, taking into account the recommendations of the Compensation and Human Capital Committee (“CHC Committee”). Our executive officers have no role in determining the amount or form of non-employee director compensation. </w:t>
      </w:r>
    </w:p>
    <w:p>
      <w:pPr>
        <w:pStyle w:val="TextBody"/>
        <w:bidi w:val="0"/>
        <w:spacing w:before="240" w:after="0"/>
        <w:jc w:val="left"/>
        <w:rPr>
          <w:rFonts w:ascii="arial" w:hAnsi="arial"/>
          <w:sz w:val="20"/>
        </w:rPr>
      </w:pPr>
      <w:r>
        <w:rPr>
          <w:rFonts w:ascii="arial" w:hAnsi="arial"/>
          <w:sz w:val="20"/>
        </w:rPr>
        <w:t xml:space="preserve">The Board and the CHC Committee consider current business and industry conditions and the director compensation paid within our peer group, which is the same peer group used in reviewing the compensation of our executives. The Board believes that non-employee director compensation should be competitive to ensure that we attract and retain qualified non-employee directors, and that compensation should include an equity component to align the long-term interests of our non-employee directors with those of our stockholders. The Board does not have a pre-established policy or target for allocation between cash and equity and determines the mix of compensation based on what it believes is most appropriate under the circumstances. In 2023, the CHC Committee engaged Meridian Compensation Partners, LLC, an independent executive compensation consulting firm (“Meridian”), to review our non-employee director compensation program and to conduct market comparisons similar to those performed for our executive officer compensation program. See </w:t>
      </w:r>
      <w:r>
        <w:rPr>
          <w:rFonts w:ascii="arial" w:hAnsi="arial"/>
          <w:i/>
          <w:sz w:val="20"/>
        </w:rPr>
        <w:t>Compensation Discussion and Analysis –“Section</w:t>
      </w:r>
      <w:r>
        <w:rPr>
          <w:rFonts w:ascii="arial" w:hAnsi="arial"/>
          <w:sz w:val="20"/>
        </w:rPr>
        <w:t> </w:t>
      </w:r>
      <w:r>
        <w:rPr>
          <w:rFonts w:ascii="arial" w:hAnsi="arial"/>
          <w:i/>
          <w:sz w:val="20"/>
        </w:rPr>
        <w:t>2 – How We Determine Pay – Our Executive Compensation Process – Role of Compensation Consultants</w:t>
      </w:r>
      <w:r>
        <w:rPr>
          <w:rFonts w:ascii="arial" w:hAnsi="arial"/>
          <w:sz w:val="20"/>
        </w:rPr>
        <w:t xml:space="preserve"> and </w:t>
      </w:r>
      <w:r>
        <w:rPr>
          <w:rFonts w:ascii="arial" w:hAnsi="arial"/>
          <w:i/>
          <w:sz w:val="20"/>
        </w:rPr>
        <w:t>Competitive Positioning</w:t>
      </w:r>
      <w:r>
        <w:rPr>
          <w:rFonts w:ascii="arial" w:hAnsi="arial"/>
          <w:sz w:val="20"/>
        </w:rPr>
        <w:t xml:space="preserve">.” The CHC Committee intends to engage Meridian or a similar firm to review our director compensation program approximately every two years, unless the committee determines to have a more frequent review. </w:t>
      </w:r>
    </w:p>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5105"/>
        <w:gridCol w:w="60"/>
        <w:gridCol w:w="1175"/>
      </w:tblGrid>
      <w:tr>
        <w:trPr/>
        <w:tc>
          <w:tcPr>
            <w:tcW w:w="5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5105" w:type="dxa"/>
            <w:tcBorders>
              <w:top w:val="single" w:sz="12" w:space="0" w:color="1070B8"/>
            </w:tcBorders>
            <w:shd w:fill="D5DBE3" w:val="clear"/>
            <w:tcMar>
              <w:top w:w="28" w:type="dxa"/>
            </w:tcMar>
            <w:vAlign w:val="center"/>
          </w:tcPr>
          <w:p>
            <w:pPr>
              <w:pStyle w:val="TableContents"/>
              <w:bidi w:val="0"/>
              <w:spacing w:before="0" w:after="283"/>
              <w:jc w:val="left"/>
              <w:rPr/>
            </w:pPr>
            <w:r>
              <w:rPr/>
              <w:t> </w:t>
            </w:r>
          </w:p>
        </w:tc>
        <w:tc>
          <w:tcPr>
            <w:tcW w:w="1235" w:type="dxa"/>
            <w:gridSpan w:val="2"/>
            <w:tcBorders>
              <w:top w:val="single" w:sz="12" w:space="0" w:color="1070B8"/>
            </w:tcBorders>
            <w:shd w:fill="D5DBE3" w:val="clear"/>
            <w:tcMar>
              <w:top w:w="28" w:type="dxa"/>
            </w:tcMar>
            <w:vAlign w:val="center"/>
          </w:tcPr>
          <w:p>
            <w:pPr>
              <w:pStyle w:val="TableContents"/>
              <w:bidi w:val="0"/>
              <w:spacing w:before="0" w:after="283"/>
              <w:jc w:val="left"/>
              <w:rPr/>
            </w:pPr>
            <w:r>
              <w:rPr/>
              <w:t> </w:t>
            </w:r>
          </w:p>
        </w:tc>
      </w:tr>
      <w:tr>
        <w:trPr/>
        <w:tc>
          <w:tcPr>
            <w:tcW w:w="5105" w:type="dxa"/>
            <w:tcBorders>
              <w:bottom w:val="single" w:sz="6" w:space="0" w:color="000000"/>
            </w:tcBorders>
            <w:shd w:fill="D5DBE3" w:val="clear"/>
            <w:tcMar>
              <w:bottom w:w="60" w:type="dxa"/>
            </w:tcMar>
            <w:vAlign w:val="center"/>
          </w:tcPr>
          <w:p>
            <w:pPr>
              <w:pStyle w:val="TableContents"/>
              <w:bidi w:val="0"/>
              <w:spacing w:before="0" w:after="0"/>
              <w:jc w:val="left"/>
              <w:rPr/>
            </w:pPr>
            <w:r>
              <w:rPr/>
              <w:t> </w:t>
            </w:r>
            <w:r>
              <w:rPr>
                <w:rFonts w:ascii="arial" w:hAnsi="arial"/>
                <w:sz w:val="20"/>
              </w:rPr>
              <w:t>Board service</w:t>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D5DBE3" w:val="clear"/>
            <w:tcMar>
              <w:bottom w:w="60" w:type="dxa"/>
            </w:tcMar>
            <w:vAlign w:val="center"/>
          </w:tcPr>
          <w:p>
            <w:pPr>
              <w:pStyle w:val="TableContents"/>
              <w:bidi w:val="0"/>
              <w:spacing w:before="0" w:after="283"/>
              <w:jc w:val="left"/>
              <w:rPr/>
            </w:pPr>
            <w:r>
              <w:rPr/>
              <w:t>$85,000 </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r>
      <w:tr>
        <w:trPr/>
        <w:tc>
          <w:tcPr>
            <w:tcW w:w="5105" w:type="dxa"/>
            <w:tcBorders>
              <w:bottom w:val="single" w:sz="6" w:space="0" w:color="000000"/>
            </w:tcBorders>
            <w:tcMar>
              <w:bottom w:w="60" w:type="dxa"/>
            </w:tcMar>
            <w:vAlign w:val="center"/>
          </w:tcPr>
          <w:p>
            <w:pPr>
              <w:pStyle w:val="TableContents"/>
              <w:bidi w:val="0"/>
              <w:spacing w:before="0" w:after="0"/>
              <w:jc w:val="left"/>
              <w:rPr/>
            </w:pPr>
            <w:r>
              <w:rPr/>
              <w:t> </w:t>
            </w:r>
            <w:r>
              <w:rPr>
                <w:rFonts w:ascii="arial" w:hAnsi="arial"/>
                <w:sz w:val="20"/>
              </w:rPr>
              <w:t>Audit Committee Chair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60" w:type="dxa"/>
            </w:tcMar>
            <w:vAlign w:val="center"/>
          </w:tcPr>
          <w:p>
            <w:pPr>
              <w:pStyle w:val="TableContents"/>
              <w:bidi w:val="0"/>
              <w:spacing w:before="0" w:after="283"/>
              <w:jc w:val="left"/>
              <w:rPr/>
            </w:pPr>
            <w:r>
              <w:rPr/>
              <w:t>$20,000 </w:t>
            </w:r>
          </w:p>
        </w:tc>
      </w:tr>
      <w:tr>
        <w:trPr/>
        <w:tc>
          <w:tcPr>
            <w:tcW w:w="5105" w:type="dxa"/>
            <w:tcBorders/>
            <w:shd w:fill="D5DBE3" w:val="clear"/>
            <w:vAlign w:val="center"/>
          </w:tcPr>
          <w:p>
            <w:pPr>
              <w:pStyle w:val="TableContents"/>
              <w:bidi w:val="0"/>
              <w:spacing w:before="0" w:after="283"/>
              <w:jc w:val="left"/>
              <w:rPr>
                <w:sz w:val="4"/>
                <w:szCs w:val="4"/>
              </w:rPr>
            </w:pPr>
            <w:r>
              <w:rPr>
                <w:sz w:val="4"/>
                <w:szCs w:val="4"/>
              </w:rPr>
            </w:r>
          </w:p>
        </w:tc>
        <w:tc>
          <w:tcPr>
            <w:tcW w:w="1235" w:type="dxa"/>
            <w:gridSpan w:val="2"/>
            <w:tcBorders/>
            <w:shd w:fill="D5DBE3" w:val="clear"/>
            <w:vAlign w:val="center"/>
          </w:tcPr>
          <w:p>
            <w:pPr>
              <w:pStyle w:val="TableContents"/>
              <w:bidi w:val="0"/>
              <w:spacing w:before="0" w:after="283"/>
              <w:jc w:val="left"/>
              <w:rPr>
                <w:sz w:val="4"/>
                <w:szCs w:val="4"/>
              </w:rPr>
            </w:pPr>
            <w:r>
              <w:rPr>
                <w:sz w:val="4"/>
                <w:szCs w:val="4"/>
              </w:rPr>
            </w:r>
          </w:p>
        </w:tc>
      </w:tr>
      <w:tr>
        <w:trPr/>
        <w:tc>
          <w:tcPr>
            <w:tcW w:w="5105" w:type="dxa"/>
            <w:tcBorders>
              <w:bottom w:val="single" w:sz="6" w:space="0" w:color="000000"/>
            </w:tcBorders>
            <w:shd w:fill="D5DBE3" w:val="clear"/>
            <w:tcMar>
              <w:bottom w:w="60" w:type="dxa"/>
            </w:tcMar>
            <w:vAlign w:val="center"/>
          </w:tcPr>
          <w:p>
            <w:pPr>
              <w:pStyle w:val="TableContents"/>
              <w:bidi w:val="0"/>
              <w:spacing w:before="0" w:after="0"/>
              <w:jc w:val="left"/>
              <w:rPr/>
            </w:pPr>
            <w:r>
              <w:rPr/>
              <w:t> </w:t>
            </w:r>
            <w:r>
              <w:rPr>
                <w:rFonts w:ascii="arial" w:hAnsi="arial"/>
                <w:sz w:val="20"/>
              </w:rPr>
              <w:t>CHC Committee Chair</w:t>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D5DBE3" w:val="clear"/>
            <w:tcMar>
              <w:bottom w:w="60" w:type="dxa"/>
            </w:tcMar>
            <w:vAlign w:val="center"/>
          </w:tcPr>
          <w:p>
            <w:pPr>
              <w:pStyle w:val="TableContents"/>
              <w:bidi w:val="0"/>
              <w:spacing w:before="0" w:after="283"/>
              <w:jc w:val="left"/>
              <w:rPr/>
            </w:pPr>
            <w:r>
              <w:rPr/>
              <w:t>$17,500 </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r>
      <w:tr>
        <w:trPr/>
        <w:tc>
          <w:tcPr>
            <w:tcW w:w="5105" w:type="dxa"/>
            <w:tcBorders>
              <w:bottom w:val="single" w:sz="6" w:space="0" w:color="000000"/>
            </w:tcBorders>
            <w:tcMar>
              <w:bottom w:w="60" w:type="dxa"/>
            </w:tcMar>
            <w:vAlign w:val="center"/>
          </w:tcPr>
          <w:p>
            <w:pPr>
              <w:pStyle w:val="TableContents"/>
              <w:bidi w:val="0"/>
              <w:spacing w:before="0" w:after="0"/>
              <w:jc w:val="left"/>
              <w:rPr/>
            </w:pPr>
            <w:r>
              <w:rPr/>
              <w:t> </w:t>
            </w:r>
            <w:r>
              <w:rPr>
                <w:rFonts w:ascii="arial" w:hAnsi="arial"/>
                <w:sz w:val="20"/>
              </w:rPr>
              <w:t>NCG Committee Chair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60" w:type="dxa"/>
            </w:tcMar>
            <w:vAlign w:val="center"/>
          </w:tcPr>
          <w:p>
            <w:pPr>
              <w:pStyle w:val="TableContents"/>
              <w:bidi w:val="0"/>
              <w:spacing w:before="0" w:after="283"/>
              <w:jc w:val="left"/>
              <w:rPr/>
            </w:pPr>
            <w:r>
              <w:rPr/>
              <w:t>$15,000 </w:t>
            </w:r>
          </w:p>
        </w:tc>
      </w:tr>
      <w:tr>
        <w:trPr/>
        <w:tc>
          <w:tcPr>
            <w:tcW w:w="5105" w:type="dxa"/>
            <w:tcBorders/>
            <w:shd w:fill="D5DBE3" w:val="clear"/>
            <w:vAlign w:val="center"/>
          </w:tcPr>
          <w:p>
            <w:pPr>
              <w:pStyle w:val="TableContents"/>
              <w:bidi w:val="0"/>
              <w:spacing w:before="0" w:after="283"/>
              <w:jc w:val="left"/>
              <w:rPr>
                <w:sz w:val="4"/>
                <w:szCs w:val="4"/>
              </w:rPr>
            </w:pPr>
            <w:r>
              <w:rPr>
                <w:sz w:val="4"/>
                <w:szCs w:val="4"/>
              </w:rPr>
            </w:r>
          </w:p>
        </w:tc>
        <w:tc>
          <w:tcPr>
            <w:tcW w:w="1235" w:type="dxa"/>
            <w:gridSpan w:val="2"/>
            <w:tcBorders/>
            <w:shd w:fill="D5DBE3" w:val="clear"/>
            <w:vAlign w:val="center"/>
          </w:tcPr>
          <w:p>
            <w:pPr>
              <w:pStyle w:val="TableContents"/>
              <w:bidi w:val="0"/>
              <w:spacing w:before="0" w:after="283"/>
              <w:jc w:val="left"/>
              <w:rPr>
                <w:sz w:val="4"/>
                <w:szCs w:val="4"/>
              </w:rPr>
            </w:pPr>
            <w:r>
              <w:rPr>
                <w:sz w:val="4"/>
                <w:szCs w:val="4"/>
              </w:rPr>
            </w:r>
          </w:p>
        </w:tc>
      </w:tr>
      <w:tr>
        <w:trPr/>
        <w:tc>
          <w:tcPr>
            <w:tcW w:w="5105" w:type="dxa"/>
            <w:tcBorders>
              <w:bottom w:val="single" w:sz="6" w:space="0" w:color="000000"/>
            </w:tcBorders>
            <w:shd w:fill="D5DBE3" w:val="clear"/>
            <w:tcMar>
              <w:bottom w:w="60" w:type="dxa"/>
            </w:tcMar>
            <w:vAlign w:val="center"/>
          </w:tcPr>
          <w:p>
            <w:pPr>
              <w:pStyle w:val="TableContents"/>
              <w:bidi w:val="0"/>
              <w:spacing w:before="0" w:after="0"/>
              <w:jc w:val="left"/>
              <w:rPr/>
            </w:pPr>
            <w:r>
              <w:rPr/>
              <w:t> </w:t>
            </w:r>
            <w:r>
              <w:rPr>
                <w:rFonts w:ascii="arial" w:hAnsi="arial"/>
                <w:sz w:val="20"/>
              </w:rPr>
              <w:t>Audit Committee (non-chair)</w:t>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D5DBE3" w:val="clear"/>
            <w:tcMar>
              <w:bottom w:w="60" w:type="dxa"/>
            </w:tcMar>
            <w:vAlign w:val="center"/>
          </w:tcPr>
          <w:p>
            <w:pPr>
              <w:pStyle w:val="TableContents"/>
              <w:bidi w:val="0"/>
              <w:spacing w:before="0" w:after="283"/>
              <w:jc w:val="left"/>
              <w:rPr/>
            </w:pPr>
            <w:r>
              <w:rPr/>
              <w:t>$10,000 </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r>
      <w:tr>
        <w:trPr/>
        <w:tc>
          <w:tcPr>
            <w:tcW w:w="5105" w:type="dxa"/>
            <w:tcBorders>
              <w:bottom w:val="single" w:sz="6" w:space="0" w:color="000000"/>
            </w:tcBorders>
            <w:tcMar>
              <w:bottom w:w="60" w:type="dxa"/>
            </w:tcMar>
            <w:vAlign w:val="center"/>
          </w:tcPr>
          <w:p>
            <w:pPr>
              <w:pStyle w:val="TableContents"/>
              <w:bidi w:val="0"/>
              <w:spacing w:before="0" w:after="0"/>
              <w:jc w:val="left"/>
              <w:rPr/>
            </w:pPr>
            <w:r>
              <w:rPr/>
              <w:t> </w:t>
            </w:r>
            <w:r>
              <w:rPr>
                <w:rFonts w:ascii="arial" w:hAnsi="arial"/>
                <w:sz w:val="20"/>
              </w:rPr>
              <w:t>CHC Committee (non-chair)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60" w:type="dxa"/>
            </w:tcMar>
            <w:vAlign w:val="center"/>
          </w:tcPr>
          <w:p>
            <w:pPr>
              <w:pStyle w:val="TableContents"/>
              <w:bidi w:val="0"/>
              <w:spacing w:before="0" w:after="283"/>
              <w:jc w:val="left"/>
              <w:rPr/>
            </w:pPr>
            <w:r>
              <w:rPr/>
              <w:t>$10,000 </w:t>
            </w:r>
          </w:p>
        </w:tc>
      </w:tr>
      <w:tr>
        <w:trPr/>
        <w:tc>
          <w:tcPr>
            <w:tcW w:w="5105" w:type="dxa"/>
            <w:tcBorders/>
            <w:shd w:fill="D5DBE3" w:val="clear"/>
            <w:vAlign w:val="center"/>
          </w:tcPr>
          <w:p>
            <w:pPr>
              <w:pStyle w:val="TableContents"/>
              <w:bidi w:val="0"/>
              <w:spacing w:before="0" w:after="283"/>
              <w:jc w:val="left"/>
              <w:rPr>
                <w:sz w:val="4"/>
                <w:szCs w:val="4"/>
              </w:rPr>
            </w:pPr>
            <w:r>
              <w:rPr>
                <w:sz w:val="4"/>
                <w:szCs w:val="4"/>
              </w:rPr>
            </w:r>
          </w:p>
        </w:tc>
        <w:tc>
          <w:tcPr>
            <w:tcW w:w="1235" w:type="dxa"/>
            <w:gridSpan w:val="2"/>
            <w:tcBorders/>
            <w:shd w:fill="D5DBE3" w:val="clear"/>
            <w:vAlign w:val="center"/>
          </w:tcPr>
          <w:p>
            <w:pPr>
              <w:pStyle w:val="TableContents"/>
              <w:bidi w:val="0"/>
              <w:spacing w:before="0" w:after="283"/>
              <w:jc w:val="left"/>
              <w:rPr>
                <w:sz w:val="4"/>
                <w:szCs w:val="4"/>
              </w:rPr>
            </w:pPr>
            <w:r>
              <w:rPr>
                <w:sz w:val="4"/>
                <w:szCs w:val="4"/>
              </w:rPr>
            </w:r>
          </w:p>
        </w:tc>
      </w:tr>
      <w:tr>
        <w:trPr/>
        <w:tc>
          <w:tcPr>
            <w:tcW w:w="5105" w:type="dxa"/>
            <w:tcBorders>
              <w:bottom w:val="single" w:sz="6" w:space="0" w:color="000000"/>
            </w:tcBorders>
            <w:shd w:fill="D5DBE3" w:val="clear"/>
            <w:tcMar>
              <w:bottom w:w="60" w:type="dxa"/>
            </w:tcMar>
            <w:vAlign w:val="center"/>
          </w:tcPr>
          <w:p>
            <w:pPr>
              <w:pStyle w:val="TableContents"/>
              <w:bidi w:val="0"/>
              <w:spacing w:before="0" w:after="0"/>
              <w:jc w:val="left"/>
              <w:rPr/>
            </w:pPr>
            <w:r>
              <w:rPr/>
              <w:t> </w:t>
            </w:r>
            <w:r>
              <w:rPr>
                <w:rFonts w:ascii="arial" w:hAnsi="arial"/>
                <w:sz w:val="20"/>
              </w:rPr>
              <w:t>NCG Committee (non-chair)</w:t>
            </w:r>
          </w:p>
        </w:tc>
        <w:tc>
          <w:tcPr>
            <w:tcW w:w="60" w:type="dxa"/>
            <w:tcBorders>
              <w:bottom w:val="single" w:sz="6" w:space="0" w:color="000000"/>
            </w:tcBorders>
            <w:shd w:fill="D5DBE3" w:val="clear"/>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D5DBE3" w:val="clear"/>
            <w:tcMar>
              <w:bottom w:w="60" w:type="dxa"/>
            </w:tcMar>
            <w:vAlign w:val="center"/>
          </w:tcPr>
          <w:p>
            <w:pPr>
              <w:pStyle w:val="TableContents"/>
              <w:bidi w:val="0"/>
              <w:spacing w:before="0" w:after="283"/>
              <w:jc w:val="left"/>
              <w:rPr/>
            </w:pPr>
            <w:r>
              <w:rPr/>
              <w:t>$7,500 </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r>
      <w:tr>
        <w:trPr/>
        <w:tc>
          <w:tcPr>
            <w:tcW w:w="5105" w:type="dxa"/>
            <w:tcBorders>
              <w:bottom w:val="single" w:sz="6" w:space="0" w:color="000000"/>
            </w:tcBorders>
            <w:tcMar>
              <w:bottom w:w="60" w:type="dxa"/>
            </w:tcMar>
            <w:vAlign w:val="center"/>
          </w:tcPr>
          <w:p>
            <w:pPr>
              <w:pStyle w:val="TableContents"/>
              <w:bidi w:val="0"/>
              <w:spacing w:before="0" w:after="0"/>
              <w:jc w:val="left"/>
              <w:rPr/>
            </w:pPr>
            <w:r>
              <w:rPr/>
              <w:t> </w:t>
            </w:r>
            <w:r>
              <w:rPr>
                <w:rFonts w:ascii="arial" w:hAnsi="arial"/>
                <w:sz w:val="20"/>
              </w:rPr>
              <w:t>Presiding Independent Director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60" w:type="dxa"/>
            </w:tcMar>
            <w:vAlign w:val="center"/>
          </w:tcPr>
          <w:p>
            <w:pPr>
              <w:pStyle w:val="TableContents"/>
              <w:bidi w:val="0"/>
              <w:spacing w:before="0" w:after="283"/>
              <w:jc w:val="left"/>
              <w:rPr/>
            </w:pPr>
            <w:r>
              <w:rPr/>
              <w:t>$25,000 </w:t>
            </w:r>
          </w:p>
        </w:tc>
      </w:tr>
      <w:tr>
        <w:trPr/>
        <w:tc>
          <w:tcPr>
            <w:tcW w:w="5105" w:type="dxa"/>
            <w:tcBorders/>
            <w:shd w:fill="D5DBE3" w:val="clear"/>
            <w:vAlign w:val="center"/>
          </w:tcPr>
          <w:p>
            <w:pPr>
              <w:pStyle w:val="TableContents"/>
              <w:bidi w:val="0"/>
              <w:spacing w:before="0" w:after="283"/>
              <w:jc w:val="left"/>
              <w:rPr>
                <w:sz w:val="4"/>
                <w:szCs w:val="4"/>
              </w:rPr>
            </w:pPr>
            <w:r>
              <w:rPr>
                <w:sz w:val="4"/>
                <w:szCs w:val="4"/>
              </w:rPr>
            </w:r>
          </w:p>
        </w:tc>
        <w:tc>
          <w:tcPr>
            <w:tcW w:w="1235" w:type="dxa"/>
            <w:gridSpan w:val="2"/>
            <w:tcBorders/>
            <w:shd w:fill="D5DBE3" w:val="clear"/>
            <w:vAlign w:val="center"/>
          </w:tcPr>
          <w:p>
            <w:pPr>
              <w:pStyle w:val="TableContents"/>
              <w:bidi w:val="0"/>
              <w:spacing w:before="0" w:after="283"/>
              <w:jc w:val="left"/>
              <w:rPr>
                <w:sz w:val="4"/>
                <w:szCs w:val="4"/>
              </w:rPr>
            </w:pPr>
            <w:r>
              <w:rPr>
                <w:sz w:val="4"/>
                <w:szCs w:val="4"/>
              </w:rPr>
            </w:r>
          </w:p>
        </w:tc>
      </w:tr>
      <w:tr>
        <w:trPr/>
        <w:tc>
          <w:tcPr>
            <w:tcW w:w="5105" w:type="dxa"/>
            <w:tcBorders>
              <w:bottom w:val="single" w:sz="12" w:space="0" w:color="1070B8"/>
            </w:tcBorders>
            <w:shd w:fill="D5DBE3" w:val="clear"/>
            <w:tcMar>
              <w:bottom w:w="60" w:type="dxa"/>
            </w:tcMar>
            <w:vAlign w:val="center"/>
          </w:tcPr>
          <w:p>
            <w:pPr>
              <w:pStyle w:val="TableContents"/>
              <w:bidi w:val="0"/>
              <w:spacing w:before="0" w:after="0"/>
              <w:jc w:val="left"/>
              <w:rPr/>
            </w:pPr>
            <w:r>
              <w:rPr/>
              <w:t> </w:t>
            </w:r>
            <w:r>
              <w:rPr>
                <w:rFonts w:ascii="arial" w:hAnsi="arial"/>
                <w:sz w:val="20"/>
              </w:rPr>
              <w:t>Grant of restricted stock (fair market value on grant date)</w:t>
            </w:r>
          </w:p>
        </w:tc>
        <w:tc>
          <w:tcPr>
            <w:tcW w:w="60" w:type="dxa"/>
            <w:tcBorders>
              <w:bottom w:val="single" w:sz="12" w:space="0" w:color="1070B8"/>
            </w:tcBorders>
            <w:shd w:fill="D5DBE3" w:val="clear"/>
            <w:tcMar>
              <w:bottom w:w="28" w:type="dxa"/>
            </w:tcMar>
            <w:vAlign w:val="center"/>
          </w:tcPr>
          <w:p>
            <w:pPr>
              <w:pStyle w:val="TableContents"/>
              <w:bidi w:val="0"/>
              <w:spacing w:before="0" w:after="283"/>
              <w:jc w:val="left"/>
              <w:rPr/>
            </w:pPr>
            <w:r>
              <w:rPr/>
              <w:t> </w:t>
            </w:r>
          </w:p>
        </w:tc>
        <w:tc>
          <w:tcPr>
            <w:tcW w:w="1175" w:type="dxa"/>
            <w:tcBorders>
              <w:bottom w:val="single" w:sz="12" w:space="0" w:color="1070B8"/>
            </w:tcBorders>
            <w:shd w:fill="D5DBE3" w:val="clear"/>
            <w:tcMar>
              <w:bottom w:w="60" w:type="dxa"/>
            </w:tcMar>
            <w:vAlign w:val="center"/>
          </w:tcPr>
          <w:p>
            <w:pPr>
              <w:pStyle w:val="TableContents"/>
              <w:bidi w:val="0"/>
              <w:spacing w:before="0" w:after="283"/>
              <w:jc w:val="left"/>
              <w:rPr/>
            </w:pPr>
            <w:r>
              <w:rPr/>
              <w:t>$125,000 </w:t>
            </w:r>
          </w:p>
        </w:tc>
      </w:tr>
    </w:tbl>
    <w:p>
      <w:pPr>
        <w:pStyle w:val="TextBody"/>
        <w:bidi w:val="0"/>
        <w:spacing w:before="240" w:after="0"/>
        <w:jc w:val="left"/>
        <w:rPr>
          <w:rFonts w:ascii="arial" w:hAnsi="arial"/>
          <w:sz w:val="20"/>
        </w:rPr>
      </w:pPr>
      <w:r>
        <w:rPr>
          <w:rFonts w:ascii="arial" w:hAnsi="arial"/>
          <w:sz w:val="20"/>
        </w:rPr>
        <w:t xml:space="preserve">Annual equity awards are awarded on the date of the Annual Meeting of Stockholders, based on the closing market price of our common stock on that date. Directors appointed to the Board at other times during the year receive a pro rata equity award. Our 2023 Omnibus Incentive Plan provides that total cash and equity compensation to any individual non-employee director may not exceed $400,000 in any fiscal year. </w:t>
      </w:r>
    </w:p>
    <w:p>
      <w:pPr>
        <w:pStyle w:val="TextBody"/>
        <w:bidi w:val="0"/>
        <w:spacing w:before="240" w:after="0"/>
        <w:jc w:val="left"/>
        <w:rPr>
          <w:rFonts w:ascii="arial" w:hAnsi="arial"/>
          <w:sz w:val="20"/>
        </w:rPr>
      </w:pPr>
      <w:r>
        <w:rPr>
          <w:rFonts w:ascii="arial" w:hAnsi="arial"/>
          <w:sz w:val="20"/>
        </w:rPr>
        <w:t xml:space="preserve">Non-employee directors are entitled to reimbursement for their reasonable expenses to attend Board and committee meetings, but do not receive fees for meeting attendance. Directors who are employees of the Company receive no compensation for their service as directors. We maintain directors’ and officers’ liability insurance and have entered into indemnification agreements with each of our directors. We do not provide incentive awards or retirement plans for our non-employee directors. </w:t>
      </w:r>
    </w:p>
    <w:p>
      <w:pPr>
        <w:pStyle w:val="TextBody"/>
        <w:bidi w:val="0"/>
        <w:spacing w:before="240" w:after="0"/>
        <w:jc w:val="left"/>
        <w:rPr>
          <w:rFonts w:ascii="arial" w:hAnsi="arial"/>
          <w:b/>
          <w:color w:val="1F295C"/>
          <w:sz w:val="24"/>
        </w:rPr>
      </w:pPr>
      <w:bookmarkStart w:id="19" w:name="toc849638_20"/>
      <w:bookmarkEnd w:id="19"/>
      <w:r>
        <w:rPr>
          <w:rFonts w:ascii="arial" w:hAnsi="arial"/>
          <w:b/>
          <w:color w:val="1F295C"/>
          <w:sz w:val="24"/>
        </w:rPr>
        <w:t xml:space="preserve">Director Compensation Table </w:t>
      </w:r>
    </w:p>
    <w:p>
      <w:pPr>
        <w:pStyle w:val="TextBody"/>
        <w:bidi w:val="0"/>
        <w:spacing w:before="240" w:after="0"/>
        <w:jc w:val="left"/>
        <w:rPr>
          <w:rFonts w:ascii="arial" w:hAnsi="arial"/>
          <w:sz w:val="20"/>
        </w:rPr>
      </w:pPr>
      <w:r>
        <w:rPr>
          <w:rFonts w:ascii="arial" w:hAnsi="arial"/>
          <w:sz w:val="20"/>
        </w:rPr>
        <w:t xml:space="preserve">The following table presents the total compensation paid in 2024 to each non-employee director. Directors’ fees are paid quarterly in arrears. </w:t>
      </w:r>
    </w:p>
    <w:p>
      <w:pPr>
        <w:pStyle w:val="TextBody"/>
        <w:bidi w:val="0"/>
        <w:spacing w:before="0" w:after="0"/>
        <w:jc w:val="left"/>
        <w:rPr/>
      </w:pPr>
      <w:r>
        <w:rPr/>
        <w:t> </w:t>
      </w:r>
    </w:p>
    <w:tbl>
      <w:tblPr>
        <w:tblW w:w="8854" w:type="dxa"/>
        <w:jc w:val="left"/>
        <w:tblInd w:w="0" w:type="dxa"/>
        <w:tblLayout w:type="fixed"/>
        <w:tblCellMar>
          <w:top w:w="0" w:type="dxa"/>
          <w:left w:w="0" w:type="dxa"/>
          <w:bottom w:w="0" w:type="dxa"/>
          <w:right w:w="0" w:type="dxa"/>
        </w:tblCellMar>
      </w:tblPr>
      <w:tblGrid>
        <w:gridCol w:w="2240"/>
        <w:gridCol w:w="23"/>
        <w:gridCol w:w="50"/>
        <w:gridCol w:w="131"/>
        <w:gridCol w:w="1765"/>
        <w:gridCol w:w="52"/>
        <w:gridCol w:w="23"/>
        <w:gridCol w:w="38"/>
        <w:gridCol w:w="99"/>
        <w:gridCol w:w="1341"/>
        <w:gridCol w:w="40"/>
        <w:gridCol w:w="23"/>
        <w:gridCol w:w="182"/>
        <w:gridCol w:w="475"/>
        <w:gridCol w:w="753"/>
        <w:gridCol w:w="183"/>
        <w:gridCol w:w="23"/>
        <w:gridCol w:w="23"/>
        <w:gridCol w:w="62"/>
        <w:gridCol w:w="827"/>
        <w:gridCol w:w="501"/>
      </w:tblGrid>
      <w:tr>
        <w:trPr/>
        <w:tc>
          <w:tcPr>
            <w:tcW w:w="22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12" w:space="0" w:color="1070B8"/>
            </w:tcBorders>
            <w:tcMar>
              <w:bottom w:w="80" w:type="dxa"/>
            </w:tcMar>
            <w:vAlign w:val="center"/>
          </w:tcPr>
          <w:p>
            <w:pPr>
              <w:pStyle w:val="TableContents"/>
              <w:bidi w:val="0"/>
              <w:spacing w:before="0" w:after="283"/>
              <w:jc w:val="left"/>
              <w:rPr>
                <w:b/>
              </w:rPr>
            </w:pPr>
            <w:r>
              <w:rPr>
                <w:b/>
              </w:rPr>
              <w:t>Name</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998" w:type="dxa"/>
            <w:gridSpan w:val="4"/>
            <w:tcBorders>
              <w:bottom w:val="single" w:sz="12" w:space="0" w:color="1070B8"/>
            </w:tcBorders>
            <w:tcMar>
              <w:bottom w:w="80" w:type="dxa"/>
            </w:tcMar>
            <w:vAlign w:val="center"/>
          </w:tcPr>
          <w:p>
            <w:pPr>
              <w:pStyle w:val="TableContents"/>
              <w:bidi w:val="0"/>
              <w:spacing w:before="0" w:after="0"/>
              <w:jc w:val="center"/>
              <w:rPr>
                <w:color w:val="1F295C"/>
              </w:rPr>
            </w:pPr>
            <w:r>
              <w:rPr>
                <w:color w:val="1F295C"/>
              </w:rPr>
              <w:t> </w:t>
            </w:r>
            <w:r>
              <w:rPr>
                <w:rFonts w:ascii="arial" w:hAnsi="arial"/>
                <w:b/>
                <w:color w:val="1F295C"/>
                <w:sz w:val="16"/>
              </w:rPr>
              <w:t>Fees Earned or Paid </w:t>
            </w:r>
          </w:p>
          <w:p>
            <w:pPr>
              <w:pStyle w:val="TableContents"/>
              <w:bidi w:val="0"/>
              <w:spacing w:before="0" w:after="0"/>
              <w:jc w:val="center"/>
              <w:rPr>
                <w:rFonts w:ascii="arial" w:hAnsi="arial"/>
                <w:b/>
                <w:color w:val="1F295C"/>
                <w:sz w:val="16"/>
              </w:rPr>
            </w:pPr>
            <w:r>
              <w:rPr>
                <w:rFonts w:ascii="arial" w:hAnsi="arial"/>
                <w:b/>
                <w:color w:val="1F295C"/>
                <w:sz w:val="16"/>
              </w:rPr>
              <w:t>In Cash</w:t>
            </w:r>
          </w:p>
          <w:p>
            <w:pPr>
              <w:pStyle w:val="TableContents"/>
              <w:bidi w:val="0"/>
              <w:spacing w:before="0" w:after="20"/>
              <w:jc w:val="center"/>
              <w:rPr>
                <w:rFonts w:ascii="arial" w:hAnsi="arial"/>
                <w:b/>
                <w:color w:val="1F295C"/>
                <w:sz w:val="16"/>
              </w:rPr>
            </w:pPr>
            <w:r>
              <w:rPr>
                <w:rFonts w:ascii="arial" w:hAnsi="arial"/>
                <w:b/>
                <w:color w:val="1F295C"/>
                <w:sz w:val="16"/>
              </w:rPr>
              <w:t>($)(1)</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518" w:type="dxa"/>
            <w:gridSpan w:val="4"/>
            <w:tcBorders>
              <w:bottom w:val="single" w:sz="12" w:space="0" w:color="1070B8"/>
            </w:tcBorders>
            <w:tcMar>
              <w:bottom w:w="80" w:type="dxa"/>
            </w:tcMar>
            <w:vAlign w:val="center"/>
          </w:tcPr>
          <w:p>
            <w:pPr>
              <w:pStyle w:val="TableContents"/>
              <w:bidi w:val="0"/>
              <w:spacing w:before="0" w:after="0"/>
              <w:jc w:val="center"/>
              <w:rPr>
                <w:color w:val="1F295C"/>
              </w:rPr>
            </w:pPr>
            <w:r>
              <w:rPr>
                <w:color w:val="1F295C"/>
              </w:rPr>
              <w:t> </w:t>
            </w:r>
            <w:r>
              <w:rPr>
                <w:rFonts w:ascii="arial" w:hAnsi="arial"/>
                <w:b/>
                <w:color w:val="1F295C"/>
                <w:sz w:val="16"/>
              </w:rPr>
              <w:t>Stock Awards </w:t>
            </w:r>
          </w:p>
          <w:p>
            <w:pPr>
              <w:pStyle w:val="TableContents"/>
              <w:bidi w:val="0"/>
              <w:spacing w:before="0" w:after="20"/>
              <w:jc w:val="center"/>
              <w:rPr>
                <w:rFonts w:ascii="arial" w:hAnsi="arial"/>
                <w:b/>
                <w:color w:val="1F295C"/>
                <w:sz w:val="16"/>
              </w:rPr>
            </w:pPr>
            <w:r>
              <w:rPr>
                <w:rFonts w:ascii="arial" w:hAnsi="arial"/>
                <w:b/>
                <w:color w:val="1F295C"/>
                <w:sz w:val="16"/>
              </w:rPr>
              <w:t>($)(2)(3)</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593" w:type="dxa"/>
            <w:gridSpan w:val="4"/>
            <w:tcBorders>
              <w:bottom w:val="single" w:sz="12" w:space="0" w:color="1070B8"/>
            </w:tcBorders>
            <w:tcMar>
              <w:bottom w:w="80" w:type="dxa"/>
            </w:tcMar>
            <w:vAlign w:val="center"/>
          </w:tcPr>
          <w:p>
            <w:pPr>
              <w:pStyle w:val="TableContents"/>
              <w:bidi w:val="0"/>
              <w:spacing w:before="0" w:after="0"/>
              <w:jc w:val="center"/>
              <w:rPr>
                <w:rFonts w:ascii="arial" w:hAnsi="arial"/>
                <w:b/>
                <w:color w:val="1F295C"/>
                <w:sz w:val="16"/>
              </w:rPr>
            </w:pPr>
            <w:r>
              <w:rPr>
                <w:rFonts w:ascii="arial" w:hAnsi="arial"/>
                <w:b/>
                <w:color w:val="1F295C"/>
                <w:sz w:val="16"/>
              </w:rPr>
              <w:t>All Other</w:t>
            </w:r>
          </w:p>
          <w:p>
            <w:pPr>
              <w:pStyle w:val="TableContents"/>
              <w:bidi w:val="0"/>
              <w:spacing w:before="0" w:after="0"/>
              <w:jc w:val="center"/>
              <w:rPr>
                <w:color w:val="1F295C"/>
              </w:rPr>
            </w:pPr>
            <w:r>
              <w:rPr>
                <w:color w:val="1F295C"/>
              </w:rPr>
              <w:t> </w:t>
            </w:r>
            <w:r>
              <w:rPr>
                <w:rFonts w:ascii="arial" w:hAnsi="arial"/>
                <w:b/>
                <w:color w:val="1F295C"/>
                <w:sz w:val="16"/>
              </w:rPr>
              <w:t>Compensation </w:t>
            </w:r>
          </w:p>
          <w:p>
            <w:pPr>
              <w:pStyle w:val="TableContents"/>
              <w:bidi w:val="0"/>
              <w:spacing w:before="0" w:after="20"/>
              <w:jc w:val="center"/>
              <w:rPr>
                <w:rFonts w:ascii="arial" w:hAnsi="arial"/>
                <w:b/>
                <w:color w:val="1F295C"/>
                <w:sz w:val="16"/>
              </w:rPr>
            </w:pPr>
            <w:r>
              <w:rPr>
                <w:rFonts w:ascii="arial" w:hAnsi="arial"/>
                <w:b/>
                <w:color w:val="1F295C"/>
                <w:sz w:val="16"/>
              </w:rPr>
              <w:t>($)</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413" w:type="dxa"/>
            <w:gridSpan w:val="4"/>
            <w:tcBorders>
              <w:bottom w:val="single" w:sz="12" w:space="0" w:color="1070B8"/>
            </w:tcBorders>
            <w:tcMar>
              <w:bottom w:w="80" w:type="dxa"/>
            </w:tcMar>
            <w:vAlign w:val="center"/>
          </w:tcPr>
          <w:p>
            <w:pPr>
              <w:pStyle w:val="TableContents"/>
              <w:bidi w:val="0"/>
              <w:spacing w:before="0" w:after="0"/>
              <w:jc w:val="center"/>
              <w:rPr>
                <w:color w:val="1F295C"/>
              </w:rPr>
            </w:pPr>
            <w:r>
              <w:rPr>
                <w:color w:val="1F295C"/>
              </w:rPr>
              <w:t>    </w:t>
            </w:r>
            <w:r>
              <w:rPr>
                <w:rFonts w:ascii="arial" w:hAnsi="arial"/>
                <w:b/>
                <w:color w:val="1F295C"/>
                <w:sz w:val="16"/>
              </w:rPr>
              <w:t>Total    </w:t>
            </w:r>
          </w:p>
          <w:p>
            <w:pPr>
              <w:pStyle w:val="TableContents"/>
              <w:bidi w:val="0"/>
              <w:spacing w:before="0" w:after="20"/>
              <w:jc w:val="center"/>
              <w:rPr>
                <w:rFonts w:ascii="arial" w:hAnsi="arial"/>
                <w:b/>
                <w:color w:val="1F295C"/>
                <w:sz w:val="16"/>
              </w:rPr>
            </w:pPr>
            <w:r>
              <w:rPr>
                <w:rFonts w:ascii="arial" w:hAnsi="arial"/>
                <w:b/>
                <w:color w:val="1F295C"/>
                <w:sz w:val="16"/>
              </w:rPr>
              <w:t>($)</w:t>
            </w:r>
          </w:p>
        </w:tc>
      </w:tr>
      <w:tr>
        <w:trPr/>
        <w:tc>
          <w:tcPr>
            <w:tcW w:w="2240" w:type="dxa"/>
            <w:tcBorders/>
            <w:shd w:fill="D5DBE3" w:val="clear"/>
            <w:vAlign w:val="center"/>
          </w:tcPr>
          <w:p>
            <w:pPr>
              <w:pStyle w:val="TableContents"/>
              <w:bidi w:val="0"/>
              <w:spacing w:before="0" w:after="283"/>
              <w:jc w:val="left"/>
              <w:rPr>
                <w:sz w:val="4"/>
                <w:szCs w:val="4"/>
              </w:rPr>
            </w:pPr>
            <w:r>
              <w:rPr>
                <w:sz w:val="4"/>
                <w:szCs w:val="4"/>
              </w:rPr>
            </w:r>
          </w:p>
        </w:tc>
        <w:tc>
          <w:tcPr>
            <w:tcW w:w="202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616" w:type="dxa"/>
            <w:gridSpan w:val="5"/>
            <w:tcBorders/>
            <w:vAlign w:val="center"/>
          </w:tcPr>
          <w:p>
            <w:pPr>
              <w:pStyle w:val="TableContents"/>
              <w:bidi w:val="0"/>
              <w:spacing w:before="0" w:after="283"/>
              <w:jc w:val="left"/>
              <w:rPr>
                <w:sz w:val="4"/>
                <w:szCs w:val="4"/>
              </w:rPr>
            </w:pPr>
            <w:r>
              <w:rPr>
                <w:sz w:val="4"/>
                <w:szCs w:val="4"/>
              </w:rPr>
            </w:r>
          </w:p>
        </w:tc>
        <w:tc>
          <w:tcPr>
            <w:tcW w:w="1436"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Margot L. Carter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1765" w:type="dxa"/>
            <w:tcBorders>
              <w:bottom w:val="single" w:sz="6" w:space="0" w:color="000000"/>
            </w:tcBorders>
            <w:tcMar>
              <w:bottom w:w="80" w:type="dxa"/>
            </w:tcMar>
            <w:vAlign w:val="center"/>
          </w:tcPr>
          <w:p>
            <w:pPr>
              <w:pStyle w:val="TableContents"/>
              <w:bidi w:val="0"/>
              <w:spacing w:before="0" w:after="283"/>
              <w:jc w:val="center"/>
              <w:rPr/>
            </w:pPr>
            <w:r>
              <w:rPr/>
              <w:t>123,342</w:t>
            </w:r>
          </w:p>
        </w:tc>
        <w:tc>
          <w:tcPr>
            <w:tcW w:w="5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1341" w:type="dxa"/>
            <w:tcBorders>
              <w:bottom w:val="single" w:sz="6" w:space="0" w:color="000000"/>
            </w:tcBorders>
            <w:tcMar>
              <w:bottom w:w="80" w:type="dxa"/>
            </w:tcMar>
            <w:vAlign w:val="center"/>
          </w:tcPr>
          <w:p>
            <w:pPr>
              <w:pStyle w:val="TableContents"/>
              <w:bidi w:val="0"/>
              <w:spacing w:before="0" w:after="283"/>
              <w:jc w:val="center"/>
              <w:rPr/>
            </w:pPr>
            <w:r>
              <w:rPr/>
              <w:t>125,000</w:t>
            </w:r>
          </w:p>
        </w:tc>
        <w:tc>
          <w:tcPr>
            <w:tcW w:w="4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75" w:type="dxa"/>
            <w:tcBorders>
              <w:bottom w:val="single" w:sz="6" w:space="0" w:color="000000"/>
            </w:tcBorders>
            <w:tcMar>
              <w:bottom w:w="80" w:type="dxa"/>
            </w:tcMar>
            <w:vAlign w:val="center"/>
          </w:tcPr>
          <w:p>
            <w:pPr>
              <w:pStyle w:val="TableContents"/>
              <w:bidi w:val="0"/>
              <w:spacing w:before="0" w:after="283"/>
              <w:jc w:val="left"/>
              <w:rPr/>
            </w:pPr>
            <w:r>
              <w:rPr/>
              <w:t> </w:t>
            </w:r>
          </w:p>
        </w:tc>
        <w:tc>
          <w:tcPr>
            <w:tcW w:w="753" w:type="dxa"/>
            <w:tcBorders>
              <w:bottom w:val="single" w:sz="6" w:space="0" w:color="000000"/>
            </w:tcBorders>
            <w:tcMar>
              <w:bottom w:w="80" w:type="dxa"/>
            </w:tcMar>
            <w:vAlign w:val="center"/>
          </w:tcPr>
          <w:p>
            <w:pPr>
              <w:pStyle w:val="TableContents"/>
              <w:bidi w:val="0"/>
              <w:spacing w:before="0" w:after="283"/>
              <w:jc w:val="center"/>
              <w:rPr/>
            </w:pPr>
            <w:r>
              <w:rPr/>
              <w:t>-  </w:t>
            </w:r>
          </w:p>
        </w:tc>
        <w:tc>
          <w:tcPr>
            <w:tcW w:w="18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80" w:type="dxa"/>
            </w:tcMar>
            <w:vAlign w:val="center"/>
          </w:tcPr>
          <w:p>
            <w:pPr>
              <w:pStyle w:val="TableContents"/>
              <w:bidi w:val="0"/>
              <w:spacing w:before="0" w:after="283"/>
              <w:jc w:val="left"/>
              <w:rPr/>
            </w:pPr>
            <w:r>
              <w:rPr/>
              <w:t> </w:t>
            </w:r>
          </w:p>
        </w:tc>
        <w:tc>
          <w:tcPr>
            <w:tcW w:w="827" w:type="dxa"/>
            <w:tcBorders>
              <w:bottom w:val="single" w:sz="6" w:space="0" w:color="000000"/>
            </w:tcBorders>
            <w:tcMar>
              <w:bottom w:w="80" w:type="dxa"/>
            </w:tcMar>
            <w:vAlign w:val="center"/>
          </w:tcPr>
          <w:p>
            <w:pPr>
              <w:pStyle w:val="TableContents"/>
              <w:bidi w:val="0"/>
              <w:spacing w:before="0" w:after="283"/>
              <w:jc w:val="right"/>
              <w:rPr/>
            </w:pPr>
            <w:r>
              <w:rPr/>
              <w:t>248,342</w:t>
            </w:r>
          </w:p>
        </w:tc>
        <w:tc>
          <w:tcPr>
            <w:tcW w:w="501" w:type="dxa"/>
            <w:tcBorders>
              <w:bottom w:val="single" w:sz="6" w:space="0" w:color="000000"/>
            </w:tcBorders>
            <w:tcMar>
              <w:bottom w:w="80" w:type="dxa"/>
            </w:tcMar>
            <w:vAlign w:val="center"/>
          </w:tcPr>
          <w:p>
            <w:pPr>
              <w:pStyle w:val="TableContents"/>
              <w:bidi w:val="0"/>
              <w:spacing w:before="0" w:after="283"/>
              <w:jc w:val="left"/>
              <w:rPr/>
            </w:pPr>
            <w:r>
              <w:rPr/>
              <w:t>    </w:t>
            </w:r>
          </w:p>
        </w:tc>
      </w:tr>
      <w:tr>
        <w:trPr/>
        <w:tc>
          <w:tcPr>
            <w:tcW w:w="2240" w:type="dxa"/>
            <w:tcBorders/>
            <w:shd w:fill="D5DBE3" w:val="clear"/>
            <w:vAlign w:val="center"/>
          </w:tcPr>
          <w:p>
            <w:pPr>
              <w:pStyle w:val="TableContents"/>
              <w:bidi w:val="0"/>
              <w:spacing w:before="0" w:after="283"/>
              <w:jc w:val="left"/>
              <w:rPr>
                <w:sz w:val="4"/>
                <w:szCs w:val="4"/>
              </w:rPr>
            </w:pPr>
            <w:r>
              <w:rPr>
                <w:sz w:val="4"/>
                <w:szCs w:val="4"/>
              </w:rPr>
            </w:r>
          </w:p>
        </w:tc>
        <w:tc>
          <w:tcPr>
            <w:tcW w:w="202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616" w:type="dxa"/>
            <w:gridSpan w:val="5"/>
            <w:tcBorders/>
            <w:vAlign w:val="center"/>
          </w:tcPr>
          <w:p>
            <w:pPr>
              <w:pStyle w:val="TableContents"/>
              <w:bidi w:val="0"/>
              <w:spacing w:before="0" w:after="283"/>
              <w:jc w:val="left"/>
              <w:rPr>
                <w:sz w:val="4"/>
                <w:szCs w:val="4"/>
              </w:rPr>
            </w:pPr>
            <w:r>
              <w:rPr>
                <w:sz w:val="4"/>
                <w:szCs w:val="4"/>
              </w:rPr>
            </w:r>
          </w:p>
        </w:tc>
        <w:tc>
          <w:tcPr>
            <w:tcW w:w="1436"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Lawrence A. Hilsheimer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1765" w:type="dxa"/>
            <w:tcBorders>
              <w:bottom w:val="single" w:sz="6" w:space="0" w:color="000000"/>
            </w:tcBorders>
            <w:tcMar>
              <w:bottom w:w="80" w:type="dxa"/>
            </w:tcMar>
            <w:vAlign w:val="center"/>
          </w:tcPr>
          <w:p>
            <w:pPr>
              <w:pStyle w:val="TableContents"/>
              <w:bidi w:val="0"/>
              <w:spacing w:before="0" w:after="283"/>
              <w:jc w:val="center"/>
              <w:rPr/>
            </w:pPr>
            <w:r>
              <w:rPr/>
              <w:t>110,842</w:t>
            </w:r>
          </w:p>
        </w:tc>
        <w:tc>
          <w:tcPr>
            <w:tcW w:w="5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1341" w:type="dxa"/>
            <w:tcBorders>
              <w:bottom w:val="single" w:sz="6" w:space="0" w:color="000000"/>
            </w:tcBorders>
            <w:tcMar>
              <w:bottom w:w="80" w:type="dxa"/>
            </w:tcMar>
            <w:vAlign w:val="center"/>
          </w:tcPr>
          <w:p>
            <w:pPr>
              <w:pStyle w:val="TableContents"/>
              <w:bidi w:val="0"/>
              <w:spacing w:before="0" w:after="283"/>
              <w:jc w:val="center"/>
              <w:rPr/>
            </w:pPr>
            <w:r>
              <w:rPr/>
              <w:t>125,000</w:t>
            </w:r>
          </w:p>
        </w:tc>
        <w:tc>
          <w:tcPr>
            <w:tcW w:w="4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75" w:type="dxa"/>
            <w:tcBorders>
              <w:bottom w:val="single" w:sz="6" w:space="0" w:color="000000"/>
            </w:tcBorders>
            <w:tcMar>
              <w:bottom w:w="80" w:type="dxa"/>
            </w:tcMar>
            <w:vAlign w:val="center"/>
          </w:tcPr>
          <w:p>
            <w:pPr>
              <w:pStyle w:val="TableContents"/>
              <w:bidi w:val="0"/>
              <w:spacing w:before="0" w:after="283"/>
              <w:jc w:val="left"/>
              <w:rPr/>
            </w:pPr>
            <w:r>
              <w:rPr/>
              <w:t> </w:t>
            </w:r>
          </w:p>
        </w:tc>
        <w:tc>
          <w:tcPr>
            <w:tcW w:w="753" w:type="dxa"/>
            <w:tcBorders>
              <w:bottom w:val="single" w:sz="6" w:space="0" w:color="000000"/>
            </w:tcBorders>
            <w:tcMar>
              <w:bottom w:w="80" w:type="dxa"/>
            </w:tcMar>
            <w:vAlign w:val="center"/>
          </w:tcPr>
          <w:p>
            <w:pPr>
              <w:pStyle w:val="TableContents"/>
              <w:bidi w:val="0"/>
              <w:spacing w:before="0" w:after="283"/>
              <w:jc w:val="center"/>
              <w:rPr/>
            </w:pPr>
            <w:r>
              <w:rPr/>
              <w:t>-  </w:t>
            </w:r>
          </w:p>
        </w:tc>
        <w:tc>
          <w:tcPr>
            <w:tcW w:w="18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80" w:type="dxa"/>
            </w:tcMar>
            <w:vAlign w:val="center"/>
          </w:tcPr>
          <w:p>
            <w:pPr>
              <w:pStyle w:val="TableContents"/>
              <w:bidi w:val="0"/>
              <w:spacing w:before="0" w:after="283"/>
              <w:jc w:val="left"/>
              <w:rPr/>
            </w:pPr>
            <w:r>
              <w:rPr/>
              <w:t> </w:t>
            </w:r>
          </w:p>
        </w:tc>
        <w:tc>
          <w:tcPr>
            <w:tcW w:w="827" w:type="dxa"/>
            <w:tcBorders>
              <w:bottom w:val="single" w:sz="6" w:space="0" w:color="000000"/>
            </w:tcBorders>
            <w:tcMar>
              <w:bottom w:w="80" w:type="dxa"/>
            </w:tcMar>
            <w:vAlign w:val="center"/>
          </w:tcPr>
          <w:p>
            <w:pPr>
              <w:pStyle w:val="TableContents"/>
              <w:bidi w:val="0"/>
              <w:spacing w:before="0" w:after="283"/>
              <w:jc w:val="right"/>
              <w:rPr/>
            </w:pPr>
            <w:r>
              <w:rPr/>
              <w:t>235,842</w:t>
            </w:r>
          </w:p>
        </w:tc>
        <w:tc>
          <w:tcPr>
            <w:tcW w:w="501"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2240" w:type="dxa"/>
            <w:tcBorders/>
            <w:shd w:fill="D5DBE3" w:val="clear"/>
            <w:vAlign w:val="center"/>
          </w:tcPr>
          <w:p>
            <w:pPr>
              <w:pStyle w:val="TableContents"/>
              <w:bidi w:val="0"/>
              <w:spacing w:before="0" w:after="283"/>
              <w:jc w:val="left"/>
              <w:rPr>
                <w:sz w:val="4"/>
                <w:szCs w:val="4"/>
              </w:rPr>
            </w:pPr>
            <w:r>
              <w:rPr>
                <w:sz w:val="4"/>
                <w:szCs w:val="4"/>
              </w:rPr>
            </w:r>
          </w:p>
        </w:tc>
        <w:tc>
          <w:tcPr>
            <w:tcW w:w="202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616" w:type="dxa"/>
            <w:gridSpan w:val="5"/>
            <w:tcBorders/>
            <w:vAlign w:val="center"/>
          </w:tcPr>
          <w:p>
            <w:pPr>
              <w:pStyle w:val="TableContents"/>
              <w:bidi w:val="0"/>
              <w:spacing w:before="0" w:after="283"/>
              <w:jc w:val="left"/>
              <w:rPr>
                <w:sz w:val="4"/>
                <w:szCs w:val="4"/>
              </w:rPr>
            </w:pPr>
            <w:r>
              <w:rPr>
                <w:sz w:val="4"/>
                <w:szCs w:val="4"/>
              </w:rPr>
            </w:r>
          </w:p>
        </w:tc>
        <w:tc>
          <w:tcPr>
            <w:tcW w:w="1436"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Janet E. Jackson</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1765" w:type="dxa"/>
            <w:tcBorders>
              <w:bottom w:val="single" w:sz="6" w:space="0" w:color="000000"/>
            </w:tcBorders>
            <w:tcMar>
              <w:bottom w:w="80" w:type="dxa"/>
            </w:tcMar>
            <w:vAlign w:val="center"/>
          </w:tcPr>
          <w:p>
            <w:pPr>
              <w:pStyle w:val="TableContents"/>
              <w:bidi w:val="0"/>
              <w:spacing w:before="0" w:after="283"/>
              <w:jc w:val="center"/>
              <w:rPr/>
            </w:pPr>
            <w:r>
              <w:rPr/>
              <w:t>108,342</w:t>
            </w:r>
          </w:p>
        </w:tc>
        <w:tc>
          <w:tcPr>
            <w:tcW w:w="5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1341" w:type="dxa"/>
            <w:tcBorders>
              <w:bottom w:val="single" w:sz="6" w:space="0" w:color="000000"/>
            </w:tcBorders>
            <w:tcMar>
              <w:bottom w:w="80" w:type="dxa"/>
            </w:tcMar>
            <w:vAlign w:val="center"/>
          </w:tcPr>
          <w:p>
            <w:pPr>
              <w:pStyle w:val="TableContents"/>
              <w:bidi w:val="0"/>
              <w:spacing w:before="0" w:after="283"/>
              <w:jc w:val="center"/>
              <w:rPr/>
            </w:pPr>
            <w:r>
              <w:rPr/>
              <w:t>125,000</w:t>
            </w:r>
          </w:p>
        </w:tc>
        <w:tc>
          <w:tcPr>
            <w:tcW w:w="4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75" w:type="dxa"/>
            <w:tcBorders>
              <w:bottom w:val="single" w:sz="6" w:space="0" w:color="000000"/>
            </w:tcBorders>
            <w:tcMar>
              <w:bottom w:w="80" w:type="dxa"/>
            </w:tcMar>
            <w:vAlign w:val="center"/>
          </w:tcPr>
          <w:p>
            <w:pPr>
              <w:pStyle w:val="TableContents"/>
              <w:bidi w:val="0"/>
              <w:spacing w:before="0" w:after="283"/>
              <w:jc w:val="left"/>
              <w:rPr/>
            </w:pPr>
            <w:r>
              <w:rPr/>
              <w:t> </w:t>
            </w:r>
          </w:p>
        </w:tc>
        <w:tc>
          <w:tcPr>
            <w:tcW w:w="753" w:type="dxa"/>
            <w:tcBorders>
              <w:bottom w:val="single" w:sz="6" w:space="0" w:color="000000"/>
            </w:tcBorders>
            <w:tcMar>
              <w:bottom w:w="80" w:type="dxa"/>
            </w:tcMar>
            <w:vAlign w:val="center"/>
          </w:tcPr>
          <w:p>
            <w:pPr>
              <w:pStyle w:val="TableContents"/>
              <w:bidi w:val="0"/>
              <w:spacing w:before="0" w:after="283"/>
              <w:jc w:val="center"/>
              <w:rPr/>
            </w:pPr>
            <w:r>
              <w:rPr/>
              <w:t>-  </w:t>
            </w:r>
          </w:p>
        </w:tc>
        <w:tc>
          <w:tcPr>
            <w:tcW w:w="18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80" w:type="dxa"/>
            </w:tcMar>
            <w:vAlign w:val="center"/>
          </w:tcPr>
          <w:p>
            <w:pPr>
              <w:pStyle w:val="TableContents"/>
              <w:bidi w:val="0"/>
              <w:spacing w:before="0" w:after="283"/>
              <w:jc w:val="left"/>
              <w:rPr/>
            </w:pPr>
            <w:r>
              <w:rPr/>
              <w:t> </w:t>
            </w:r>
          </w:p>
        </w:tc>
        <w:tc>
          <w:tcPr>
            <w:tcW w:w="827" w:type="dxa"/>
            <w:tcBorders>
              <w:bottom w:val="single" w:sz="6" w:space="0" w:color="000000"/>
            </w:tcBorders>
            <w:tcMar>
              <w:bottom w:w="80" w:type="dxa"/>
            </w:tcMar>
            <w:vAlign w:val="center"/>
          </w:tcPr>
          <w:p>
            <w:pPr>
              <w:pStyle w:val="TableContents"/>
              <w:bidi w:val="0"/>
              <w:spacing w:before="0" w:after="283"/>
              <w:jc w:val="right"/>
              <w:rPr/>
            </w:pPr>
            <w:r>
              <w:rPr/>
              <w:t>233,342</w:t>
            </w:r>
          </w:p>
        </w:tc>
        <w:tc>
          <w:tcPr>
            <w:tcW w:w="501"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2240" w:type="dxa"/>
            <w:tcBorders/>
            <w:shd w:fill="D5DBE3" w:val="clear"/>
            <w:vAlign w:val="center"/>
          </w:tcPr>
          <w:p>
            <w:pPr>
              <w:pStyle w:val="TableContents"/>
              <w:bidi w:val="0"/>
              <w:spacing w:before="0" w:after="283"/>
              <w:jc w:val="left"/>
              <w:rPr>
                <w:sz w:val="4"/>
                <w:szCs w:val="4"/>
              </w:rPr>
            </w:pPr>
            <w:r>
              <w:rPr>
                <w:sz w:val="4"/>
                <w:szCs w:val="4"/>
              </w:rPr>
            </w:r>
          </w:p>
        </w:tc>
        <w:tc>
          <w:tcPr>
            <w:tcW w:w="202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616" w:type="dxa"/>
            <w:gridSpan w:val="5"/>
            <w:tcBorders/>
            <w:vAlign w:val="center"/>
          </w:tcPr>
          <w:p>
            <w:pPr>
              <w:pStyle w:val="TableContents"/>
              <w:bidi w:val="0"/>
              <w:spacing w:before="0" w:after="283"/>
              <w:jc w:val="left"/>
              <w:rPr>
                <w:sz w:val="4"/>
                <w:szCs w:val="4"/>
              </w:rPr>
            </w:pPr>
            <w:r>
              <w:rPr>
                <w:sz w:val="4"/>
                <w:szCs w:val="4"/>
              </w:rPr>
            </w:r>
          </w:p>
        </w:tc>
        <w:tc>
          <w:tcPr>
            <w:tcW w:w="1436"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David R. Meuse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1765" w:type="dxa"/>
            <w:tcBorders>
              <w:bottom w:val="single" w:sz="6" w:space="0" w:color="000000"/>
            </w:tcBorders>
            <w:tcMar>
              <w:bottom w:w="80" w:type="dxa"/>
            </w:tcMar>
            <w:vAlign w:val="center"/>
          </w:tcPr>
          <w:p>
            <w:pPr>
              <w:pStyle w:val="TableContents"/>
              <w:bidi w:val="0"/>
              <w:spacing w:before="0" w:after="283"/>
              <w:jc w:val="center"/>
              <w:rPr/>
            </w:pPr>
            <w:r>
              <w:rPr/>
              <w:t> </w:t>
            </w:r>
            <w:r>
              <w:rPr/>
              <w:t>93,342</w:t>
            </w:r>
          </w:p>
        </w:tc>
        <w:tc>
          <w:tcPr>
            <w:tcW w:w="5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1341" w:type="dxa"/>
            <w:tcBorders>
              <w:bottom w:val="single" w:sz="6" w:space="0" w:color="000000"/>
            </w:tcBorders>
            <w:tcMar>
              <w:bottom w:w="80" w:type="dxa"/>
            </w:tcMar>
            <w:vAlign w:val="center"/>
          </w:tcPr>
          <w:p>
            <w:pPr>
              <w:pStyle w:val="TableContents"/>
              <w:bidi w:val="0"/>
              <w:spacing w:before="0" w:after="283"/>
              <w:jc w:val="center"/>
              <w:rPr/>
            </w:pPr>
            <w:r>
              <w:rPr/>
              <w:t>125,000</w:t>
            </w:r>
          </w:p>
        </w:tc>
        <w:tc>
          <w:tcPr>
            <w:tcW w:w="4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75" w:type="dxa"/>
            <w:tcBorders>
              <w:bottom w:val="single" w:sz="6" w:space="0" w:color="000000"/>
            </w:tcBorders>
            <w:tcMar>
              <w:bottom w:w="80" w:type="dxa"/>
            </w:tcMar>
            <w:vAlign w:val="center"/>
          </w:tcPr>
          <w:p>
            <w:pPr>
              <w:pStyle w:val="TableContents"/>
              <w:bidi w:val="0"/>
              <w:spacing w:before="0" w:after="283"/>
              <w:jc w:val="left"/>
              <w:rPr/>
            </w:pPr>
            <w:r>
              <w:rPr/>
              <w:t> </w:t>
            </w:r>
          </w:p>
        </w:tc>
        <w:tc>
          <w:tcPr>
            <w:tcW w:w="753" w:type="dxa"/>
            <w:tcBorders>
              <w:bottom w:val="single" w:sz="6" w:space="0" w:color="000000"/>
            </w:tcBorders>
            <w:tcMar>
              <w:bottom w:w="80" w:type="dxa"/>
            </w:tcMar>
            <w:vAlign w:val="center"/>
          </w:tcPr>
          <w:p>
            <w:pPr>
              <w:pStyle w:val="TableContents"/>
              <w:bidi w:val="0"/>
              <w:spacing w:before="0" w:after="283"/>
              <w:jc w:val="center"/>
              <w:rPr/>
            </w:pPr>
            <w:r>
              <w:rPr/>
              <w:t>-  </w:t>
            </w:r>
          </w:p>
        </w:tc>
        <w:tc>
          <w:tcPr>
            <w:tcW w:w="18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80" w:type="dxa"/>
            </w:tcMar>
            <w:vAlign w:val="center"/>
          </w:tcPr>
          <w:p>
            <w:pPr>
              <w:pStyle w:val="TableContents"/>
              <w:bidi w:val="0"/>
              <w:spacing w:before="0" w:after="283"/>
              <w:jc w:val="left"/>
              <w:rPr/>
            </w:pPr>
            <w:r>
              <w:rPr/>
              <w:t> </w:t>
            </w:r>
          </w:p>
        </w:tc>
        <w:tc>
          <w:tcPr>
            <w:tcW w:w="827" w:type="dxa"/>
            <w:tcBorders>
              <w:bottom w:val="single" w:sz="6" w:space="0" w:color="000000"/>
            </w:tcBorders>
            <w:tcMar>
              <w:bottom w:w="80" w:type="dxa"/>
            </w:tcMar>
            <w:vAlign w:val="center"/>
          </w:tcPr>
          <w:p>
            <w:pPr>
              <w:pStyle w:val="TableContents"/>
              <w:bidi w:val="0"/>
              <w:spacing w:before="0" w:after="283"/>
              <w:jc w:val="right"/>
              <w:rPr/>
            </w:pPr>
            <w:r>
              <w:rPr/>
              <w:t>218,342</w:t>
            </w:r>
          </w:p>
        </w:tc>
        <w:tc>
          <w:tcPr>
            <w:tcW w:w="501"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2240" w:type="dxa"/>
            <w:tcBorders/>
            <w:shd w:fill="D5DBE3" w:val="clear"/>
            <w:vAlign w:val="center"/>
          </w:tcPr>
          <w:p>
            <w:pPr>
              <w:pStyle w:val="TableContents"/>
              <w:bidi w:val="0"/>
              <w:spacing w:before="0" w:after="283"/>
              <w:jc w:val="left"/>
              <w:rPr>
                <w:sz w:val="4"/>
                <w:szCs w:val="4"/>
              </w:rPr>
            </w:pPr>
            <w:r>
              <w:rPr>
                <w:sz w:val="4"/>
                <w:szCs w:val="4"/>
              </w:rPr>
            </w:r>
          </w:p>
        </w:tc>
        <w:tc>
          <w:tcPr>
            <w:tcW w:w="202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616" w:type="dxa"/>
            <w:gridSpan w:val="5"/>
            <w:tcBorders/>
            <w:vAlign w:val="center"/>
          </w:tcPr>
          <w:p>
            <w:pPr>
              <w:pStyle w:val="TableContents"/>
              <w:bidi w:val="0"/>
              <w:spacing w:before="0" w:after="283"/>
              <w:jc w:val="left"/>
              <w:rPr>
                <w:sz w:val="4"/>
                <w:szCs w:val="4"/>
              </w:rPr>
            </w:pPr>
            <w:r>
              <w:rPr>
                <w:sz w:val="4"/>
                <w:szCs w:val="4"/>
              </w:rPr>
            </w:r>
          </w:p>
        </w:tc>
        <w:tc>
          <w:tcPr>
            <w:tcW w:w="1436"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Marchelle E. Moore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1765" w:type="dxa"/>
            <w:tcBorders>
              <w:bottom w:val="single" w:sz="6" w:space="0" w:color="000000"/>
            </w:tcBorders>
            <w:tcMar>
              <w:bottom w:w="80" w:type="dxa"/>
            </w:tcMar>
            <w:vAlign w:val="center"/>
          </w:tcPr>
          <w:p>
            <w:pPr>
              <w:pStyle w:val="TableContents"/>
              <w:bidi w:val="0"/>
              <w:spacing w:before="0" w:after="283"/>
              <w:jc w:val="center"/>
              <w:rPr/>
            </w:pPr>
            <w:r>
              <w:rPr/>
              <w:t>100,842</w:t>
            </w:r>
          </w:p>
        </w:tc>
        <w:tc>
          <w:tcPr>
            <w:tcW w:w="5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1341" w:type="dxa"/>
            <w:tcBorders>
              <w:bottom w:val="single" w:sz="6" w:space="0" w:color="000000"/>
            </w:tcBorders>
            <w:tcMar>
              <w:bottom w:w="80" w:type="dxa"/>
            </w:tcMar>
            <w:vAlign w:val="center"/>
          </w:tcPr>
          <w:p>
            <w:pPr>
              <w:pStyle w:val="TableContents"/>
              <w:bidi w:val="0"/>
              <w:spacing w:before="0" w:after="283"/>
              <w:jc w:val="center"/>
              <w:rPr/>
            </w:pPr>
            <w:r>
              <w:rPr/>
              <w:t>125,000</w:t>
            </w:r>
          </w:p>
        </w:tc>
        <w:tc>
          <w:tcPr>
            <w:tcW w:w="4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75" w:type="dxa"/>
            <w:tcBorders>
              <w:bottom w:val="single" w:sz="6" w:space="0" w:color="000000"/>
            </w:tcBorders>
            <w:tcMar>
              <w:bottom w:w="80" w:type="dxa"/>
            </w:tcMar>
            <w:vAlign w:val="center"/>
          </w:tcPr>
          <w:p>
            <w:pPr>
              <w:pStyle w:val="TableContents"/>
              <w:bidi w:val="0"/>
              <w:spacing w:before="0" w:after="283"/>
              <w:jc w:val="left"/>
              <w:rPr/>
            </w:pPr>
            <w:r>
              <w:rPr/>
              <w:t> </w:t>
            </w:r>
          </w:p>
        </w:tc>
        <w:tc>
          <w:tcPr>
            <w:tcW w:w="753" w:type="dxa"/>
            <w:tcBorders>
              <w:bottom w:val="single" w:sz="6" w:space="0" w:color="000000"/>
            </w:tcBorders>
            <w:tcMar>
              <w:bottom w:w="80" w:type="dxa"/>
            </w:tcMar>
            <w:vAlign w:val="center"/>
          </w:tcPr>
          <w:p>
            <w:pPr>
              <w:pStyle w:val="TableContents"/>
              <w:bidi w:val="0"/>
              <w:spacing w:before="0" w:after="283"/>
              <w:jc w:val="center"/>
              <w:rPr/>
            </w:pPr>
            <w:r>
              <w:rPr/>
              <w:t>-  </w:t>
            </w:r>
          </w:p>
        </w:tc>
        <w:tc>
          <w:tcPr>
            <w:tcW w:w="18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80" w:type="dxa"/>
            </w:tcMar>
            <w:vAlign w:val="center"/>
          </w:tcPr>
          <w:p>
            <w:pPr>
              <w:pStyle w:val="TableContents"/>
              <w:bidi w:val="0"/>
              <w:spacing w:before="0" w:after="283"/>
              <w:jc w:val="left"/>
              <w:rPr/>
            </w:pPr>
            <w:r>
              <w:rPr/>
              <w:t> </w:t>
            </w:r>
          </w:p>
        </w:tc>
        <w:tc>
          <w:tcPr>
            <w:tcW w:w="827" w:type="dxa"/>
            <w:tcBorders>
              <w:bottom w:val="single" w:sz="6" w:space="0" w:color="000000"/>
            </w:tcBorders>
            <w:tcMar>
              <w:bottom w:w="80" w:type="dxa"/>
            </w:tcMar>
            <w:vAlign w:val="center"/>
          </w:tcPr>
          <w:p>
            <w:pPr>
              <w:pStyle w:val="TableContents"/>
              <w:bidi w:val="0"/>
              <w:spacing w:before="0" w:after="283"/>
              <w:jc w:val="right"/>
              <w:rPr/>
            </w:pPr>
            <w:r>
              <w:rPr/>
              <w:t>225,842</w:t>
            </w:r>
          </w:p>
        </w:tc>
        <w:tc>
          <w:tcPr>
            <w:tcW w:w="501"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2240" w:type="dxa"/>
            <w:tcBorders/>
            <w:shd w:fill="D5DBE3" w:val="clear"/>
            <w:vAlign w:val="center"/>
          </w:tcPr>
          <w:p>
            <w:pPr>
              <w:pStyle w:val="TableContents"/>
              <w:bidi w:val="0"/>
              <w:spacing w:before="0" w:after="283"/>
              <w:jc w:val="left"/>
              <w:rPr>
                <w:sz w:val="4"/>
                <w:szCs w:val="4"/>
              </w:rPr>
            </w:pPr>
            <w:r>
              <w:rPr>
                <w:sz w:val="4"/>
                <w:szCs w:val="4"/>
              </w:rPr>
            </w:r>
          </w:p>
        </w:tc>
        <w:tc>
          <w:tcPr>
            <w:tcW w:w="202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616" w:type="dxa"/>
            <w:gridSpan w:val="5"/>
            <w:tcBorders/>
            <w:vAlign w:val="center"/>
          </w:tcPr>
          <w:p>
            <w:pPr>
              <w:pStyle w:val="TableContents"/>
              <w:bidi w:val="0"/>
              <w:spacing w:before="0" w:after="283"/>
              <w:jc w:val="left"/>
              <w:rPr>
                <w:sz w:val="4"/>
                <w:szCs w:val="4"/>
              </w:rPr>
            </w:pPr>
            <w:r>
              <w:rPr>
                <w:sz w:val="4"/>
                <w:szCs w:val="4"/>
              </w:rPr>
            </w:r>
          </w:p>
        </w:tc>
        <w:tc>
          <w:tcPr>
            <w:tcW w:w="1436"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Robert H. Schottenstein</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1765" w:type="dxa"/>
            <w:tcBorders>
              <w:bottom w:val="single" w:sz="6" w:space="0" w:color="000000"/>
            </w:tcBorders>
            <w:tcMar>
              <w:bottom w:w="80" w:type="dxa"/>
            </w:tcMar>
            <w:vAlign w:val="center"/>
          </w:tcPr>
          <w:p>
            <w:pPr>
              <w:pStyle w:val="TableContents"/>
              <w:bidi w:val="0"/>
              <w:spacing w:before="0" w:after="283"/>
              <w:jc w:val="center"/>
              <w:rPr/>
            </w:pPr>
            <w:r>
              <w:rPr/>
              <w:t> </w:t>
            </w:r>
            <w:r>
              <w:rPr/>
              <w:t>83,342</w:t>
            </w:r>
          </w:p>
        </w:tc>
        <w:tc>
          <w:tcPr>
            <w:tcW w:w="5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1341" w:type="dxa"/>
            <w:tcBorders>
              <w:bottom w:val="single" w:sz="6" w:space="0" w:color="000000"/>
            </w:tcBorders>
            <w:tcMar>
              <w:bottom w:w="80" w:type="dxa"/>
            </w:tcMar>
            <w:vAlign w:val="center"/>
          </w:tcPr>
          <w:p>
            <w:pPr>
              <w:pStyle w:val="TableContents"/>
              <w:bidi w:val="0"/>
              <w:spacing w:before="0" w:after="283"/>
              <w:jc w:val="center"/>
              <w:rPr/>
            </w:pPr>
            <w:r>
              <w:rPr/>
              <w:t>125,000</w:t>
            </w:r>
          </w:p>
        </w:tc>
        <w:tc>
          <w:tcPr>
            <w:tcW w:w="4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75" w:type="dxa"/>
            <w:tcBorders>
              <w:bottom w:val="single" w:sz="6" w:space="0" w:color="000000"/>
            </w:tcBorders>
            <w:tcMar>
              <w:bottom w:w="80" w:type="dxa"/>
            </w:tcMar>
            <w:vAlign w:val="center"/>
          </w:tcPr>
          <w:p>
            <w:pPr>
              <w:pStyle w:val="TableContents"/>
              <w:bidi w:val="0"/>
              <w:spacing w:before="0" w:after="283"/>
              <w:jc w:val="left"/>
              <w:rPr/>
            </w:pPr>
            <w:r>
              <w:rPr/>
              <w:t> </w:t>
            </w:r>
          </w:p>
        </w:tc>
        <w:tc>
          <w:tcPr>
            <w:tcW w:w="753" w:type="dxa"/>
            <w:tcBorders>
              <w:bottom w:val="single" w:sz="6" w:space="0" w:color="000000"/>
            </w:tcBorders>
            <w:tcMar>
              <w:bottom w:w="80" w:type="dxa"/>
            </w:tcMar>
            <w:vAlign w:val="center"/>
          </w:tcPr>
          <w:p>
            <w:pPr>
              <w:pStyle w:val="TableContents"/>
              <w:bidi w:val="0"/>
              <w:spacing w:before="0" w:after="283"/>
              <w:jc w:val="center"/>
              <w:rPr/>
            </w:pPr>
            <w:r>
              <w:rPr/>
              <w:t>-  </w:t>
            </w:r>
          </w:p>
        </w:tc>
        <w:tc>
          <w:tcPr>
            <w:tcW w:w="18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80" w:type="dxa"/>
            </w:tcMar>
            <w:vAlign w:val="center"/>
          </w:tcPr>
          <w:p>
            <w:pPr>
              <w:pStyle w:val="TableContents"/>
              <w:bidi w:val="0"/>
              <w:spacing w:before="0" w:after="283"/>
              <w:jc w:val="left"/>
              <w:rPr/>
            </w:pPr>
            <w:r>
              <w:rPr/>
              <w:t> </w:t>
            </w:r>
          </w:p>
        </w:tc>
        <w:tc>
          <w:tcPr>
            <w:tcW w:w="827" w:type="dxa"/>
            <w:tcBorders>
              <w:bottom w:val="single" w:sz="6" w:space="0" w:color="000000"/>
            </w:tcBorders>
            <w:tcMar>
              <w:bottom w:w="80" w:type="dxa"/>
            </w:tcMar>
            <w:vAlign w:val="center"/>
          </w:tcPr>
          <w:p>
            <w:pPr>
              <w:pStyle w:val="TableContents"/>
              <w:bidi w:val="0"/>
              <w:spacing w:before="0" w:after="283"/>
              <w:jc w:val="right"/>
              <w:rPr/>
            </w:pPr>
            <w:r>
              <w:rPr/>
              <w:t>208,342</w:t>
            </w:r>
          </w:p>
        </w:tc>
        <w:tc>
          <w:tcPr>
            <w:tcW w:w="501"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2240" w:type="dxa"/>
            <w:tcBorders/>
            <w:shd w:fill="D5DBE3" w:val="clear"/>
            <w:vAlign w:val="center"/>
          </w:tcPr>
          <w:p>
            <w:pPr>
              <w:pStyle w:val="TableContents"/>
              <w:bidi w:val="0"/>
              <w:spacing w:before="0" w:after="283"/>
              <w:jc w:val="left"/>
              <w:rPr>
                <w:sz w:val="4"/>
                <w:szCs w:val="4"/>
              </w:rPr>
            </w:pPr>
            <w:r>
              <w:rPr>
                <w:sz w:val="4"/>
                <w:szCs w:val="4"/>
              </w:rPr>
            </w:r>
          </w:p>
        </w:tc>
        <w:tc>
          <w:tcPr>
            <w:tcW w:w="2021" w:type="dxa"/>
            <w:gridSpan w:val="5"/>
            <w:tcBorders/>
            <w:vAlign w:val="center"/>
          </w:tcPr>
          <w:p>
            <w:pPr>
              <w:pStyle w:val="TableContents"/>
              <w:bidi w:val="0"/>
              <w:spacing w:before="0" w:after="283"/>
              <w:jc w:val="left"/>
              <w:rPr>
                <w:sz w:val="4"/>
                <w:szCs w:val="4"/>
              </w:rPr>
            </w:pPr>
            <w:r>
              <w:rPr>
                <w:sz w:val="4"/>
                <w:szCs w:val="4"/>
              </w:rPr>
            </w:r>
          </w:p>
        </w:tc>
        <w:tc>
          <w:tcPr>
            <w:tcW w:w="1541" w:type="dxa"/>
            <w:gridSpan w:val="5"/>
            <w:tcBorders/>
            <w:vAlign w:val="center"/>
          </w:tcPr>
          <w:p>
            <w:pPr>
              <w:pStyle w:val="TableContents"/>
              <w:bidi w:val="0"/>
              <w:spacing w:before="0" w:after="283"/>
              <w:jc w:val="left"/>
              <w:rPr>
                <w:sz w:val="4"/>
                <w:szCs w:val="4"/>
              </w:rPr>
            </w:pPr>
            <w:r>
              <w:rPr>
                <w:sz w:val="4"/>
                <w:szCs w:val="4"/>
              </w:rPr>
            </w:r>
          </w:p>
        </w:tc>
        <w:tc>
          <w:tcPr>
            <w:tcW w:w="1616" w:type="dxa"/>
            <w:gridSpan w:val="5"/>
            <w:tcBorders/>
            <w:vAlign w:val="center"/>
          </w:tcPr>
          <w:p>
            <w:pPr>
              <w:pStyle w:val="TableContents"/>
              <w:bidi w:val="0"/>
              <w:spacing w:before="0" w:after="283"/>
              <w:jc w:val="left"/>
              <w:rPr>
                <w:sz w:val="4"/>
                <w:szCs w:val="4"/>
              </w:rPr>
            </w:pPr>
            <w:r>
              <w:rPr>
                <w:sz w:val="4"/>
                <w:szCs w:val="4"/>
              </w:rPr>
            </w:r>
          </w:p>
        </w:tc>
        <w:tc>
          <w:tcPr>
            <w:tcW w:w="1436"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Michael H. Thomas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1765" w:type="dxa"/>
            <w:tcBorders>
              <w:bottom w:val="single" w:sz="6" w:space="0" w:color="000000"/>
            </w:tcBorders>
            <w:tcMar>
              <w:bottom w:w="80" w:type="dxa"/>
            </w:tcMar>
            <w:vAlign w:val="center"/>
          </w:tcPr>
          <w:p>
            <w:pPr>
              <w:pStyle w:val="TableContents"/>
              <w:bidi w:val="0"/>
              <w:spacing w:before="0" w:after="283"/>
              <w:jc w:val="center"/>
              <w:rPr/>
            </w:pPr>
            <w:r>
              <w:rPr/>
              <w:t> </w:t>
            </w:r>
            <w:r>
              <w:rPr/>
              <w:t>89,042</w:t>
            </w:r>
          </w:p>
        </w:tc>
        <w:tc>
          <w:tcPr>
            <w:tcW w:w="5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1341" w:type="dxa"/>
            <w:tcBorders>
              <w:bottom w:val="single" w:sz="6" w:space="0" w:color="000000"/>
            </w:tcBorders>
            <w:tcMar>
              <w:bottom w:w="80" w:type="dxa"/>
            </w:tcMar>
            <w:vAlign w:val="center"/>
          </w:tcPr>
          <w:p>
            <w:pPr>
              <w:pStyle w:val="TableContents"/>
              <w:bidi w:val="0"/>
              <w:spacing w:before="0" w:after="283"/>
              <w:jc w:val="center"/>
              <w:rPr/>
            </w:pPr>
            <w:r>
              <w:rPr/>
              <w:t>125,000</w:t>
            </w:r>
          </w:p>
        </w:tc>
        <w:tc>
          <w:tcPr>
            <w:tcW w:w="4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75" w:type="dxa"/>
            <w:tcBorders>
              <w:bottom w:val="single" w:sz="6" w:space="0" w:color="000000"/>
            </w:tcBorders>
            <w:tcMar>
              <w:bottom w:w="80" w:type="dxa"/>
            </w:tcMar>
            <w:vAlign w:val="center"/>
          </w:tcPr>
          <w:p>
            <w:pPr>
              <w:pStyle w:val="TableContents"/>
              <w:bidi w:val="0"/>
              <w:spacing w:before="0" w:after="283"/>
              <w:jc w:val="left"/>
              <w:rPr/>
            </w:pPr>
            <w:r>
              <w:rPr/>
              <w:t> </w:t>
            </w:r>
          </w:p>
        </w:tc>
        <w:tc>
          <w:tcPr>
            <w:tcW w:w="753" w:type="dxa"/>
            <w:tcBorders>
              <w:bottom w:val="single" w:sz="6" w:space="0" w:color="000000"/>
            </w:tcBorders>
            <w:tcMar>
              <w:bottom w:w="80" w:type="dxa"/>
            </w:tcMar>
            <w:vAlign w:val="center"/>
          </w:tcPr>
          <w:p>
            <w:pPr>
              <w:pStyle w:val="TableContents"/>
              <w:bidi w:val="0"/>
              <w:spacing w:before="0" w:after="283"/>
              <w:jc w:val="center"/>
              <w:rPr/>
            </w:pPr>
            <w:r>
              <w:rPr/>
              <w:t>-  </w:t>
            </w:r>
          </w:p>
        </w:tc>
        <w:tc>
          <w:tcPr>
            <w:tcW w:w="18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80" w:type="dxa"/>
            </w:tcMar>
            <w:vAlign w:val="center"/>
          </w:tcPr>
          <w:p>
            <w:pPr>
              <w:pStyle w:val="TableContents"/>
              <w:bidi w:val="0"/>
              <w:spacing w:before="0" w:after="283"/>
              <w:jc w:val="left"/>
              <w:rPr/>
            </w:pPr>
            <w:r>
              <w:rPr/>
              <w:t> </w:t>
            </w:r>
          </w:p>
        </w:tc>
        <w:tc>
          <w:tcPr>
            <w:tcW w:w="827" w:type="dxa"/>
            <w:tcBorders>
              <w:bottom w:val="single" w:sz="6" w:space="0" w:color="000000"/>
            </w:tcBorders>
            <w:tcMar>
              <w:bottom w:w="80" w:type="dxa"/>
            </w:tcMar>
            <w:vAlign w:val="center"/>
          </w:tcPr>
          <w:p>
            <w:pPr>
              <w:pStyle w:val="TableContents"/>
              <w:bidi w:val="0"/>
              <w:spacing w:before="0" w:after="283"/>
              <w:jc w:val="right"/>
              <w:rPr/>
            </w:pPr>
            <w:r>
              <w:rPr/>
              <w:t>214,042</w:t>
            </w:r>
          </w:p>
        </w:tc>
        <w:tc>
          <w:tcPr>
            <w:tcW w:w="501"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1 – Election of Directors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(1)</w:t>
            </w:r>
          </w:p>
        </w:tc>
        <w:tc>
          <w:tcPr>
            <w:tcW w:w="9879" w:type="dxa"/>
            <w:tcBorders/>
            <w:vAlign w:val="center"/>
          </w:tcPr>
          <w:p>
            <w:pPr>
              <w:pStyle w:val="TableContents"/>
              <w:bidi w:val="0"/>
              <w:spacing w:before="0" w:after="0"/>
              <w:jc w:val="left"/>
              <w:rPr>
                <w:rFonts w:ascii="arial" w:hAnsi="arial"/>
                <w:sz w:val="20"/>
              </w:rPr>
            </w:pPr>
            <w:r>
              <w:rPr>
                <w:rFonts w:ascii="arial" w:hAnsi="arial"/>
                <w:sz w:val="20"/>
              </w:rPr>
              <w:t xml:space="preserve">The amounts in this column represent all earned retainers. Ms. Carter and Mr. Thomas agreed in advance to waive $10,000 and $4,300, respectively, in order to assist the Company in funding awards under our Foundation.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(2)</w:t>
            </w:r>
          </w:p>
        </w:tc>
        <w:tc>
          <w:tcPr>
            <w:tcW w:w="9905" w:type="dxa"/>
            <w:tcBorders/>
            <w:vAlign w:val="center"/>
          </w:tcPr>
          <w:p>
            <w:pPr>
              <w:pStyle w:val="TableContents"/>
              <w:bidi w:val="0"/>
              <w:spacing w:before="0" w:after="0"/>
              <w:jc w:val="left"/>
              <w:rPr>
                <w:rFonts w:ascii="arial" w:hAnsi="arial"/>
                <w:sz w:val="20"/>
              </w:rPr>
            </w:pPr>
            <w:r>
              <w:rPr>
                <w:rFonts w:ascii="arial" w:hAnsi="arial"/>
                <w:sz w:val="20"/>
              </w:rPr>
              <w:t xml:space="preserve">Represents an annual grant of restricted stock having a fair value of $125,000 on the grant date (May 23, 2024), computed in accordance with Financial Accounting Standards Board Accounting Standards Codification Topic 718, Compensation-Stock Compensation (“FASB ASC Topic 718”), based on the closing price of our common stock ($209.01) on the grant date. The restricted stock awards vest on the earlier to occur of (i) the one year anniversary of the grant date, (ii) immediately prior to the annual meeting of the Company’s stockholders occurring after the grant date, or (iii) the director’s death, subject in the cases of (i) and (ii) to the director’s continued service through the vesting date.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290"/>
        <w:gridCol w:w="50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5000" w:type="dxa"/>
            <w:tcBorders/>
            <w:vAlign w:val="center"/>
          </w:tcPr>
          <w:p>
            <w:pPr>
              <w:pStyle w:val="TableContents"/>
              <w:bidi w:val="0"/>
              <w:spacing w:before="0" w:after="0"/>
              <w:jc w:val="left"/>
              <w:rPr>
                <w:rFonts w:ascii="arial" w:hAnsi="arial"/>
                <w:sz w:val="20"/>
              </w:rPr>
            </w:pPr>
            <w:r>
              <w:rPr>
                <w:rFonts w:ascii="arial" w:hAnsi="arial"/>
                <w:sz w:val="20"/>
              </w:rPr>
              <w:t xml:space="preserve">No director held stock options as of December 31, 2024. </w:t>
            </w:r>
          </w:p>
        </w:tc>
      </w:tr>
    </w:tbl>
    <w:p>
      <w:pPr>
        <w:pStyle w:val="TextBody"/>
        <w:bidi w:val="0"/>
        <w:spacing w:before="240" w:after="0"/>
        <w:jc w:val="left"/>
        <w:rPr>
          <w:rFonts w:ascii="arial" w:hAnsi="arial"/>
          <w:b/>
          <w:color w:val="1F295C"/>
          <w:sz w:val="24"/>
        </w:rPr>
      </w:pPr>
      <w:bookmarkStart w:id="20" w:name="toc849638_21"/>
      <w:bookmarkEnd w:id="20"/>
      <w:r>
        <w:rPr>
          <w:rFonts w:ascii="arial" w:hAnsi="arial"/>
          <w:b/>
          <w:color w:val="1F295C"/>
          <w:sz w:val="24"/>
        </w:rPr>
        <w:t xml:space="preserve">Director Stock Ownership Policy </w:t>
      </w:r>
    </w:p>
    <w:p>
      <w:pPr>
        <w:pStyle w:val="TextBody"/>
        <w:bidi w:val="0"/>
        <w:spacing w:before="240" w:after="0"/>
        <w:jc w:val="left"/>
        <w:rPr>
          <w:rFonts w:ascii="arial" w:hAnsi="arial"/>
          <w:sz w:val="20"/>
        </w:rPr>
      </w:pPr>
      <w:r>
        <w:rPr>
          <w:rFonts w:ascii="arial" w:hAnsi="arial"/>
          <w:sz w:val="20"/>
        </w:rPr>
        <w:t xml:space="preserve">Pursuant to our Stock Ownership Policy for Directors established by the Board and the CHC Committee to align each director’s interests with the long-term interests of our stockholders, each non-employee director (and any employee director who is not otherwise subject to the Company’s stock ownership policy for executive officers) is required to beneficially own our common stock having a fair market value equal to the greater of $425,000 or five times the annual non-employee director cash retainer (excluding committee and Presiding Independent Director retainers). If a director chooses to meet this requirement by holding vested or unvested shares of common stock granted in connection with our director compensation program, the shares are valued at the greater of the closing price on the grant date or on the date on which ownership is measured. If a director fails to meet the ownership requirement on a measurement date, the director is prohibited from selling any Company stock and 50% of any annual cash retainer (or, for an employee director, an equivalent amount from any annual cash bonus) will be paid in the form of stock in lieu of cash. Our directors who are executive officers are subject to our stock ownership policy for executive officers. See </w:t>
      </w:r>
      <w:r>
        <w:rPr>
          <w:rFonts w:ascii="arial" w:hAnsi="arial"/>
          <w:i/>
          <w:sz w:val="20"/>
        </w:rPr>
        <w:t>Compensation Discussion and Analysis – “Section</w:t>
      </w:r>
      <w:r>
        <w:rPr>
          <w:rFonts w:ascii="arial" w:hAnsi="arial"/>
          <w:sz w:val="20"/>
        </w:rPr>
        <w:t> </w:t>
      </w:r>
      <w:r>
        <w:rPr>
          <w:rFonts w:ascii="arial" w:hAnsi="arial"/>
          <w:i/>
          <w:sz w:val="20"/>
        </w:rPr>
        <w:t>5 – Other Compensation and Policies – Stock Ownership Policy.</w:t>
      </w:r>
      <w:r>
        <w:rPr>
          <w:rFonts w:ascii="arial" w:hAnsi="arial"/>
          <w:sz w:val="20"/>
        </w:rPr>
        <w:t xml:space="preserve">” </w:t>
      </w:r>
    </w:p>
    <w:p>
      <w:pPr>
        <w:pStyle w:val="TextBody"/>
        <w:bidi w:val="0"/>
        <w:spacing w:before="0" w:after="0"/>
        <w:jc w:val="left"/>
        <w:rPr>
          <w:rFonts w:ascii="arial" w:hAnsi="arial"/>
          <w:sz w:val="20"/>
        </w:rPr>
      </w:pPr>
      <w:r>
        <w:rPr>
          <w:rFonts w:ascii="arial" w:hAnsi="arial"/>
          <w:sz w:val="20"/>
        </w:rPr>
        <w:t xml:space="preserve">To meet the requirements of the Stock Ownership Policy for Directors, a director has five years from the date of his or her appointment or election, or if later, the date of an increase in the amount of stock required to be held. All of our non-employee directors meet the stock ownership requirement except for Ms. Moore, who is on target to meet the requirement. </w:t>
      </w:r>
    </w:p>
    <w:p>
      <w:pPr>
        <w:pStyle w:val="TextBody"/>
        <w:bidi w:val="0"/>
        <w:spacing w:before="240" w:after="0"/>
        <w:jc w:val="left"/>
        <w:rPr>
          <w:rFonts w:ascii="arial" w:hAnsi="arial"/>
          <w:b/>
          <w:color w:val="1F295C"/>
          <w:sz w:val="24"/>
        </w:rPr>
      </w:pPr>
      <w:bookmarkStart w:id="21" w:name="toc849638_22"/>
      <w:bookmarkEnd w:id="21"/>
      <w:r>
        <w:rPr>
          <w:rFonts w:ascii="arial" w:hAnsi="arial"/>
          <w:b/>
          <w:color w:val="1F295C"/>
          <w:sz w:val="24"/>
        </w:rPr>
        <w:t xml:space="preserve">Required Vote and Recommendation of the Board </w:t>
      </w:r>
    </w:p>
    <w:p>
      <w:pPr>
        <w:pStyle w:val="TextBody"/>
        <w:bidi w:val="0"/>
        <w:spacing w:before="240" w:after="0"/>
        <w:jc w:val="left"/>
        <w:rPr>
          <w:rFonts w:ascii="arial" w:hAnsi="arial"/>
          <w:sz w:val="20"/>
        </w:rPr>
      </w:pPr>
      <w:r>
        <w:rPr>
          <w:rFonts w:ascii="arial" w:hAnsi="arial"/>
          <w:sz w:val="20"/>
        </w:rPr>
        <w:t xml:space="preserve">The affirmative vote of a majority of the total votes cast at the Annual Meeting is required to approve the election of each nominee as a director, which means that the number of shares voted “FOR” a nominee must exceed the number of shares voted “AGAINST” the nominee. “ABSTAIN” votes and broker non-votes will not be counted as votes cast either “FOR” or “AGAINST.” </w:t>
      </w:r>
    </w:p>
    <w:p>
      <w:pPr>
        <w:pStyle w:val="TextBody"/>
        <w:bidi w:val="0"/>
        <w:spacing w:before="240" w:after="0"/>
        <w:jc w:val="left"/>
        <w:rPr>
          <w:rFonts w:ascii="arial" w:hAnsi="arial"/>
          <w:sz w:val="20"/>
        </w:rPr>
      </w:pPr>
      <w:r>
        <w:rPr>
          <w:rFonts w:ascii="arial" w:hAnsi="arial"/>
          <w:sz w:val="20"/>
        </w:rPr>
        <w:t xml:space="preserve">Our Amended and Restated Bylaws provide that any incumbent director who fails to receive a majority of votes cast in an uncontested election is required to promptly tender his or her resignation to the Board, which will become effective only upon its acceptance by the Board. The NCG Committee will recommend to the Board whether to accept or reject the resignation, and the Board will act upon such resignation and publicly disclose its decision within 90 days from the date of the certification of the election results. </w:t>
      </w:r>
    </w:p>
    <w:p>
      <w:pPr>
        <w:pStyle w:val="TextBody"/>
        <w:bidi w:val="0"/>
        <w:spacing w:before="240" w:after="0"/>
        <w:jc w:val="left"/>
        <w:rPr>
          <w:rFonts w:ascii="arial" w:hAnsi="arial"/>
          <w:sz w:val="20"/>
        </w:rPr>
      </w:pPr>
      <w:r>
        <w:rPr>
          <w:rFonts w:ascii="arial" w:hAnsi="arial"/>
          <w:sz w:val="20"/>
        </w:rPr>
        <w:t xml:space="preserve">Unless otherwise instructed, the persons named as proxies will vote “FOR” each nominee.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997"/>
        <w:gridCol w:w="120"/>
        <w:gridCol w:w="8953"/>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53" w:type="dxa"/>
            <w:tcBorders/>
            <w:vAlign w:val="center"/>
          </w:tcPr>
          <w:p>
            <w:pPr>
              <w:pStyle w:val="TableContents"/>
              <w:bidi w:val="0"/>
              <w:spacing w:before="0" w:after="283"/>
              <w:jc w:val="left"/>
              <w:rPr>
                <w:sz w:val="4"/>
                <w:szCs w:val="4"/>
              </w:rPr>
            </w:pPr>
            <w:r>
              <w:rPr>
                <w:sz w:val="4"/>
                <w:szCs w:val="4"/>
              </w:rPr>
            </w:r>
          </w:p>
        </w:tc>
      </w:tr>
      <w:tr>
        <w:trPr/>
        <w:tc>
          <w:tcPr>
            <w:tcW w:w="75" w:type="dxa"/>
            <w:tcBorders>
              <w:top w:val="single" w:sz="12" w:space="0" w:color="1070B8"/>
              <w:left w:val="single" w:sz="12" w:space="0" w:color="1070B8"/>
              <w:bottom w:val="single" w:sz="12" w:space="0" w:color="1070B8"/>
            </w:tcBorders>
            <w:tcMar>
              <w:top w:w="28" w:type="dxa"/>
              <w:left w:w="160" w:type="dxa"/>
              <w:bottom w:w="28" w:type="dxa"/>
            </w:tcMar>
            <w:vAlign w:val="center"/>
          </w:tcPr>
          <w:p>
            <w:pPr>
              <w:pStyle w:val="TableContents"/>
              <w:bidi w:val="0"/>
              <w:spacing w:before="0" w:after="283"/>
              <w:jc w:val="left"/>
              <w:rPr/>
            </w:pPr>
            <w:r>
              <w:rPr/>
              <w:t> </w:t>
            </w:r>
          </w:p>
        </w:tc>
        <w:tc>
          <w:tcPr>
            <w:tcW w:w="60" w:type="dxa"/>
            <w:tcBorders>
              <w:top w:val="single" w:sz="12" w:space="0" w:color="1070B8"/>
              <w:bottom w:val="single" w:sz="12" w:space="0" w:color="1070B8"/>
            </w:tcBorders>
            <w:tcMar>
              <w:top w:w="28" w:type="dxa"/>
              <w:bottom w:w="28" w:type="dxa"/>
            </w:tcMar>
            <w:vAlign w:val="center"/>
          </w:tcPr>
          <w:p>
            <w:pPr>
              <w:pStyle w:val="TableContents"/>
              <w:bidi w:val="0"/>
              <w:spacing w:before="0" w:after="283"/>
              <w:jc w:val="left"/>
              <w:rPr/>
            </w:pPr>
            <w:r>
              <w:rPr/>
              <w:t> </w:t>
            </w:r>
          </w:p>
        </w:tc>
        <w:tc>
          <w:tcPr>
            <w:tcW w:w="997" w:type="dxa"/>
            <w:tcBorders>
              <w:top w:val="single" w:sz="12" w:space="0" w:color="1070B8"/>
              <w:bottom w:val="single" w:sz="12" w:space="0" w:color="1070B8"/>
            </w:tcBorders>
            <w:tcMar>
              <w:top w:w="28" w:type="dxa"/>
              <w:bottom w:w="28" w:type="dxa"/>
            </w:tcMar>
            <w:vAlign w:val="center"/>
          </w:tcPr>
          <w:p>
            <w:pPr>
              <w:pStyle w:val="TableContents"/>
              <w:bidi w:val="0"/>
              <w:spacing w:before="0" w:after="283"/>
              <w:jc w:val="left"/>
              <w:rPr/>
            </w:pPr>
            <w:r>
              <w:rPr/>
              <w:drawing>
                <wp:inline distT="0" distB="0" distL="0" distR="0">
                  <wp:extent cx="624840" cy="686435"/>
                  <wp:effectExtent l="0" t="0" r="0" b="0"/>
                  <wp:docPr id="5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5" descr=""/>
                          <pic:cNvPicPr>
                            <a:picLocks noChangeAspect="1" noChangeArrowheads="1"/>
                          </pic:cNvPicPr>
                        </pic:nvPicPr>
                        <pic:blipFill>
                          <a:blip r:embed="rId56"/>
                          <a:stretch>
                            <a:fillRect/>
                          </a:stretch>
                        </pic:blipFill>
                        <pic:spPr bwMode="auto">
                          <a:xfrm>
                            <a:off x="0" y="0"/>
                            <a:ext cx="624840" cy="686435"/>
                          </a:xfrm>
                          <a:prstGeom prst="rect">
                            <a:avLst/>
                          </a:prstGeom>
                        </pic:spPr>
                      </pic:pic>
                    </a:graphicData>
                  </a:graphic>
                </wp:inline>
              </w:drawing>
            </w:r>
            <w:r>
              <w:rPr/>
              <w:t xml:space="preserve"> </w:t>
            </w:r>
          </w:p>
        </w:tc>
        <w:tc>
          <w:tcPr>
            <w:tcW w:w="120" w:type="dxa"/>
            <w:tcBorders>
              <w:top w:val="single" w:sz="12" w:space="0" w:color="1070B8"/>
              <w:bottom w:val="single" w:sz="12" w:space="0" w:color="1070B8"/>
            </w:tcBorders>
            <w:tcMar>
              <w:top w:w="28" w:type="dxa"/>
              <w:bottom w:w="28" w:type="dxa"/>
            </w:tcMar>
            <w:vAlign w:val="center"/>
          </w:tcPr>
          <w:p>
            <w:pPr>
              <w:pStyle w:val="TableContents"/>
              <w:bidi w:val="0"/>
              <w:spacing w:before="0" w:after="283"/>
              <w:jc w:val="left"/>
              <w:rPr/>
            </w:pPr>
            <w:r>
              <w:rPr/>
              <w:t>  </w:t>
            </w:r>
          </w:p>
        </w:tc>
        <w:tc>
          <w:tcPr>
            <w:tcW w:w="8953" w:type="dxa"/>
            <w:tcBorders>
              <w:top w:val="single" w:sz="12" w:space="0" w:color="1070B8"/>
              <w:bottom w:val="single" w:sz="12" w:space="0" w:color="1070B8"/>
              <w:right w:val="single" w:sz="12" w:space="0" w:color="1070B8"/>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4"/>
              </w:rPr>
            </w:pPr>
            <w:r>
              <w:rPr>
                <w:rFonts w:ascii="arial" w:hAnsi="arial"/>
                <w:b/>
                <w:color w:val="1F295C"/>
                <w:sz w:val="24"/>
              </w:rPr>
              <w:t>THE BOARD OF DIRECTORS UNANIMOUSLY RECOMMENDS THAT YOU VOTE “FOR” THE ELECTION OF JEFFREY W. EDWARDS, LAWRENCE A. HILSHEIMER AND JANET E. JACKSON AS DIRECTORS.</w:t>
            </w:r>
          </w:p>
          <w:p>
            <w:pPr>
              <w:pStyle w:val="TableContents"/>
              <w:bidi w:val="0"/>
              <w:spacing w:before="0" w:after="0"/>
              <w:jc w:val="left"/>
              <w:rPr/>
            </w:pPr>
            <w:r>
              <w:rPr/>
              <w:t> </w:t>
            </w:r>
          </w:p>
          <w:p>
            <w:pPr>
              <w:pStyle w:val="TableContents"/>
              <w:bidi w:val="0"/>
              <w:spacing w:before="0" w:after="0"/>
              <w:jc w:val="left"/>
              <w:rPr>
                <w:rFonts w:ascii="arial" w:hAnsi="arial"/>
                <w:b/>
                <w:color w:val="1F295C"/>
                <w:sz w:val="24"/>
              </w:rPr>
            </w:pPr>
            <w:r>
              <w:rPr>
                <w:rFonts w:ascii="arial" w:hAnsi="arial"/>
                <w:b/>
                <w:color w:val="1F295C"/>
                <w:sz w:val="24"/>
              </w:rPr>
              <w:t>THE BOARD BELIEVES THAT EACH NOMINEE POSSESSES QUALIFICATIONS AND ATTRIBUTES THAT ARE CRITICAL FOR THE EFFECTIVE RISK OVERSIGHT OF THE COMPANY AND ARE RELEVANT TO THE OVERSIGHT OF OUR BUSINESS, STRATEGY AND OPERATIONS.</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1 – Election of Directors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bookmarkStart w:id="22" w:name="toc849638_23"/>
      <w:bookmarkEnd w:id="22"/>
      <w:r>
        <w:rPr>
          <w:rFonts w:ascii="Times New Roman" w:hAnsi="Times New Roman"/>
          <w:b/>
          <w:color w:val="1070B8"/>
          <w:sz w:val="44"/>
        </w:rPr>
        <w:t xml:space="preserve">CORPORATE GOVERNANCE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240" w:after="0"/>
        <w:jc w:val="left"/>
        <w:rPr>
          <w:rFonts w:ascii="arial" w:hAnsi="arial"/>
          <w:b/>
          <w:color w:val="1F295C"/>
          <w:sz w:val="24"/>
        </w:rPr>
      </w:pPr>
      <w:bookmarkStart w:id="23" w:name="toc849638_24"/>
      <w:bookmarkEnd w:id="23"/>
      <w:r>
        <w:rPr>
          <w:rFonts w:ascii="arial" w:hAnsi="arial"/>
          <w:b/>
          <w:color w:val="1F295C"/>
          <w:sz w:val="24"/>
        </w:rPr>
        <w:t xml:space="preserve">Corporate Governance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88"/>
        <w:gridCol w:w="60"/>
        <w:gridCol w:w="8257"/>
      </w:tblGrid>
      <w:tr>
        <w:trPr/>
        <w:tc>
          <w:tcPr>
            <w:tcW w:w="1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57" w:type="dxa"/>
            <w:tcBorders/>
            <w:vAlign w:val="center"/>
          </w:tcPr>
          <w:p>
            <w:pPr>
              <w:pStyle w:val="TableContents"/>
              <w:bidi w:val="0"/>
              <w:spacing w:before="0" w:after="283"/>
              <w:jc w:val="left"/>
              <w:rPr>
                <w:sz w:val="4"/>
                <w:szCs w:val="4"/>
              </w:rPr>
            </w:pPr>
            <w:r>
              <w:rPr>
                <w:sz w:val="4"/>
                <w:szCs w:val="4"/>
              </w:rPr>
            </w:r>
          </w:p>
        </w:tc>
      </w:tr>
      <w:tr>
        <w:trPr/>
        <w:tc>
          <w:tcPr>
            <w:tcW w:w="1888" w:type="dxa"/>
            <w:tcBorders/>
            <w:shd w:fill="2F5496" w:val="clear"/>
            <w:vAlign w:val="center"/>
          </w:tcPr>
          <w:p>
            <w:pPr>
              <w:pStyle w:val="TableContents"/>
              <w:bidi w:val="0"/>
              <w:spacing w:before="0" w:after="283"/>
              <w:jc w:val="left"/>
              <w:rPr>
                <w:sz w:val="4"/>
                <w:szCs w:val="4"/>
              </w:rPr>
            </w:pPr>
            <w:r>
              <w:rPr>
                <w:sz w:val="4"/>
                <w:szCs w:val="4"/>
              </w:rPr>
            </w:r>
          </w:p>
        </w:tc>
        <w:tc>
          <w:tcPr>
            <w:tcW w:w="8317" w:type="dxa"/>
            <w:gridSpan w:val="2"/>
            <w:tcBorders/>
            <w:shd w:fill="D5DCE4" w:val="clear"/>
            <w:vAlign w:val="center"/>
          </w:tcPr>
          <w:p>
            <w:pPr>
              <w:pStyle w:val="TableContents"/>
              <w:bidi w:val="0"/>
              <w:spacing w:before="0" w:after="283"/>
              <w:jc w:val="left"/>
              <w:rPr>
                <w:sz w:val="4"/>
                <w:szCs w:val="4"/>
              </w:rPr>
            </w:pPr>
            <w:r>
              <w:rPr>
                <w:sz w:val="4"/>
                <w:szCs w:val="4"/>
              </w:rPr>
            </w:r>
          </w:p>
        </w:tc>
      </w:tr>
      <w:tr>
        <w:trPr/>
        <w:tc>
          <w:tcPr>
            <w:tcW w:w="1888" w:type="dxa"/>
            <w:tcBorders>
              <w:bottom w:val="single" w:sz="6" w:space="0" w:color="FFFFFF"/>
            </w:tcBorders>
            <w:shd w:fill="2F5496" w:val="clear"/>
            <w:tcMar>
              <w:bottom w:w="240" w:type="dxa"/>
            </w:tcMar>
            <w:vAlign w:val="center"/>
          </w:tcPr>
          <w:p>
            <w:pPr>
              <w:pStyle w:val="TableContents"/>
              <w:bidi w:val="0"/>
              <w:spacing w:before="0" w:after="0"/>
              <w:jc w:val="left"/>
              <w:rPr>
                <w:rFonts w:ascii="arial" w:hAnsi="arial"/>
                <w:color w:val="FFFFFF"/>
                <w:sz w:val="18"/>
              </w:rPr>
            </w:pPr>
            <w:r>
              <w:rPr>
                <w:rFonts w:ascii="arial" w:hAnsi="arial"/>
                <w:color w:val="FFFFFF"/>
                <w:sz w:val="18"/>
              </w:rPr>
              <w:t>Independent Board and Committees</w:t>
            </w:r>
          </w:p>
        </w:tc>
        <w:tc>
          <w:tcPr>
            <w:tcW w:w="60" w:type="dxa"/>
            <w:tcBorders>
              <w:bottom w:val="single" w:sz="6" w:space="0" w:color="000000"/>
            </w:tcBorders>
            <w:shd w:fill="D5DCE4" w:val="clear"/>
            <w:tcMar>
              <w:bottom w:w="28" w:type="dxa"/>
            </w:tcMar>
            <w:vAlign w:val="center"/>
          </w:tcPr>
          <w:p>
            <w:pPr>
              <w:pStyle w:val="TableContents"/>
              <w:bidi w:val="0"/>
              <w:spacing w:before="0" w:after="283"/>
              <w:jc w:val="left"/>
              <w:rPr/>
            </w:pPr>
            <w:r>
              <w:rPr/>
              <w:t> </w:t>
            </w:r>
          </w:p>
        </w:tc>
        <w:tc>
          <w:tcPr>
            <w:tcW w:w="8257" w:type="dxa"/>
            <w:tcBorders>
              <w:bottom w:val="single" w:sz="6" w:space="0" w:color="000000"/>
            </w:tcBorders>
            <w:shd w:fill="D5DCE4" w:val="clear"/>
            <w:tcMar>
              <w:bottom w:w="240" w:type="dxa"/>
            </w:tcMar>
            <w:vAlign w:val="center"/>
          </w:tcPr>
          <w:p>
            <w:pPr>
              <w:pStyle w:val="TableContents"/>
              <w:bidi w:val="0"/>
              <w:spacing w:before="0" w:after="0"/>
              <w:jc w:val="left"/>
              <w:rPr>
                <w:rFonts w:ascii="arial" w:hAnsi="arial"/>
                <w:sz w:val="18"/>
              </w:rPr>
            </w:pPr>
            <w:r>
              <w:rPr>
                <w:rFonts w:ascii="arial" w:hAnsi="arial"/>
                <w:sz w:val="18"/>
              </w:rPr>
              <w:t>78% of our directors are independent. Board committees consist of independent directors operating under written charters approved by the Board.</w:t>
            </w:r>
          </w:p>
        </w:tc>
      </w:tr>
      <w:tr>
        <w:trPr/>
        <w:tc>
          <w:tcPr>
            <w:tcW w:w="1888" w:type="dxa"/>
            <w:tcBorders/>
            <w:shd w:fill="2F5496" w:val="clear"/>
            <w:vAlign w:val="center"/>
          </w:tcPr>
          <w:p>
            <w:pPr>
              <w:pStyle w:val="TableContents"/>
              <w:bidi w:val="0"/>
              <w:spacing w:before="0" w:after="283"/>
              <w:jc w:val="left"/>
              <w:rPr>
                <w:sz w:val="4"/>
                <w:szCs w:val="4"/>
              </w:rPr>
            </w:pPr>
            <w:r>
              <w:rPr>
                <w:sz w:val="4"/>
                <w:szCs w:val="4"/>
              </w:rPr>
            </w:r>
          </w:p>
        </w:tc>
        <w:tc>
          <w:tcPr>
            <w:tcW w:w="8317" w:type="dxa"/>
            <w:gridSpan w:val="2"/>
            <w:tcBorders/>
            <w:shd w:fill="D5DCE4" w:val="clear"/>
            <w:vAlign w:val="center"/>
          </w:tcPr>
          <w:p>
            <w:pPr>
              <w:pStyle w:val="TableContents"/>
              <w:bidi w:val="0"/>
              <w:spacing w:before="0" w:after="283"/>
              <w:jc w:val="left"/>
              <w:rPr>
                <w:sz w:val="4"/>
                <w:szCs w:val="4"/>
              </w:rPr>
            </w:pPr>
            <w:r>
              <w:rPr>
                <w:sz w:val="4"/>
                <w:szCs w:val="4"/>
              </w:rPr>
            </w:r>
          </w:p>
        </w:tc>
      </w:tr>
      <w:tr>
        <w:trPr/>
        <w:tc>
          <w:tcPr>
            <w:tcW w:w="1888" w:type="dxa"/>
            <w:tcBorders>
              <w:bottom w:val="single" w:sz="6" w:space="0" w:color="FFFFFF"/>
            </w:tcBorders>
            <w:shd w:fill="2F5496" w:val="clear"/>
            <w:tcMar>
              <w:bottom w:w="240" w:type="dxa"/>
            </w:tcMar>
            <w:vAlign w:val="center"/>
          </w:tcPr>
          <w:p>
            <w:pPr>
              <w:pStyle w:val="TableContents"/>
              <w:bidi w:val="0"/>
              <w:spacing w:before="0" w:after="0"/>
              <w:jc w:val="left"/>
              <w:rPr>
                <w:rFonts w:ascii="arial" w:hAnsi="arial"/>
                <w:color w:val="FFFFFF"/>
                <w:sz w:val="18"/>
              </w:rPr>
            </w:pPr>
            <w:r>
              <w:rPr>
                <w:rFonts w:ascii="arial" w:hAnsi="arial"/>
                <w:color w:val="FFFFFF"/>
                <w:sz w:val="18"/>
              </w:rPr>
              <w:t>Majority vote for Directors</w:t>
            </w:r>
          </w:p>
        </w:tc>
        <w:tc>
          <w:tcPr>
            <w:tcW w:w="60" w:type="dxa"/>
            <w:tcBorders>
              <w:bottom w:val="single" w:sz="6" w:space="0" w:color="000000"/>
            </w:tcBorders>
            <w:shd w:fill="D5DCE4" w:val="clear"/>
            <w:tcMar>
              <w:bottom w:w="28" w:type="dxa"/>
            </w:tcMar>
            <w:vAlign w:val="center"/>
          </w:tcPr>
          <w:p>
            <w:pPr>
              <w:pStyle w:val="TableContents"/>
              <w:bidi w:val="0"/>
              <w:spacing w:before="0" w:after="283"/>
              <w:jc w:val="left"/>
              <w:rPr/>
            </w:pPr>
            <w:r>
              <w:rPr/>
              <w:t> </w:t>
            </w:r>
          </w:p>
        </w:tc>
        <w:tc>
          <w:tcPr>
            <w:tcW w:w="8257" w:type="dxa"/>
            <w:tcBorders>
              <w:bottom w:val="single" w:sz="6" w:space="0" w:color="000000"/>
            </w:tcBorders>
            <w:shd w:fill="D5DCE4" w:val="clear"/>
            <w:tcMar>
              <w:bottom w:w="240" w:type="dxa"/>
            </w:tcMar>
            <w:vAlign w:val="center"/>
          </w:tcPr>
          <w:p>
            <w:pPr>
              <w:pStyle w:val="TableContents"/>
              <w:bidi w:val="0"/>
              <w:spacing w:before="0" w:after="0"/>
              <w:jc w:val="left"/>
              <w:rPr>
                <w:rFonts w:ascii="arial" w:hAnsi="arial"/>
                <w:sz w:val="18"/>
              </w:rPr>
            </w:pPr>
            <w:r>
              <w:rPr>
                <w:rFonts w:ascii="arial" w:hAnsi="arial"/>
                <w:sz w:val="18"/>
              </w:rPr>
              <w:t>Election of directors is by majority of the total votes cast, with a resignation policy if a director does not receive a majority of votes cast in an uncontested election.</w:t>
            </w:r>
          </w:p>
        </w:tc>
      </w:tr>
      <w:tr>
        <w:trPr/>
        <w:tc>
          <w:tcPr>
            <w:tcW w:w="1888" w:type="dxa"/>
            <w:tcBorders/>
            <w:shd w:fill="2F5496" w:val="clear"/>
            <w:vAlign w:val="center"/>
          </w:tcPr>
          <w:p>
            <w:pPr>
              <w:pStyle w:val="TableContents"/>
              <w:bidi w:val="0"/>
              <w:spacing w:before="0" w:after="283"/>
              <w:jc w:val="left"/>
              <w:rPr>
                <w:sz w:val="4"/>
                <w:szCs w:val="4"/>
              </w:rPr>
            </w:pPr>
            <w:r>
              <w:rPr>
                <w:sz w:val="4"/>
                <w:szCs w:val="4"/>
              </w:rPr>
            </w:r>
          </w:p>
        </w:tc>
        <w:tc>
          <w:tcPr>
            <w:tcW w:w="8317" w:type="dxa"/>
            <w:gridSpan w:val="2"/>
            <w:tcBorders/>
            <w:shd w:fill="D5DCE4" w:val="clear"/>
            <w:vAlign w:val="center"/>
          </w:tcPr>
          <w:p>
            <w:pPr>
              <w:pStyle w:val="TableContents"/>
              <w:bidi w:val="0"/>
              <w:spacing w:before="0" w:after="283"/>
              <w:jc w:val="left"/>
              <w:rPr>
                <w:sz w:val="4"/>
                <w:szCs w:val="4"/>
              </w:rPr>
            </w:pPr>
            <w:r>
              <w:rPr>
                <w:sz w:val="4"/>
                <w:szCs w:val="4"/>
              </w:rPr>
            </w:r>
          </w:p>
        </w:tc>
      </w:tr>
      <w:tr>
        <w:trPr/>
        <w:tc>
          <w:tcPr>
            <w:tcW w:w="1888" w:type="dxa"/>
            <w:tcBorders>
              <w:bottom w:val="single" w:sz="6" w:space="0" w:color="FFFFFF"/>
            </w:tcBorders>
            <w:shd w:fill="2F5496" w:val="clear"/>
            <w:tcMar>
              <w:bottom w:w="240" w:type="dxa"/>
            </w:tcMar>
            <w:vAlign w:val="center"/>
          </w:tcPr>
          <w:p>
            <w:pPr>
              <w:pStyle w:val="TableContents"/>
              <w:bidi w:val="0"/>
              <w:spacing w:before="0" w:after="0"/>
              <w:jc w:val="left"/>
              <w:rPr>
                <w:rFonts w:ascii="arial" w:hAnsi="arial"/>
                <w:color w:val="FFFFFF"/>
                <w:sz w:val="18"/>
              </w:rPr>
            </w:pPr>
            <w:r>
              <w:rPr>
                <w:rFonts w:ascii="arial" w:hAnsi="arial"/>
                <w:color w:val="FFFFFF"/>
                <w:sz w:val="18"/>
              </w:rPr>
              <w:t>Effective Board oversight</w:t>
            </w:r>
          </w:p>
        </w:tc>
        <w:tc>
          <w:tcPr>
            <w:tcW w:w="60" w:type="dxa"/>
            <w:tcBorders>
              <w:bottom w:val="single" w:sz="6" w:space="0" w:color="000000"/>
            </w:tcBorders>
            <w:shd w:fill="D5DCE4" w:val="clear"/>
            <w:tcMar>
              <w:bottom w:w="28" w:type="dxa"/>
            </w:tcMar>
            <w:vAlign w:val="center"/>
          </w:tcPr>
          <w:p>
            <w:pPr>
              <w:pStyle w:val="TableContents"/>
              <w:bidi w:val="0"/>
              <w:spacing w:before="0" w:after="283"/>
              <w:jc w:val="left"/>
              <w:rPr/>
            </w:pPr>
            <w:r>
              <w:rPr/>
              <w:t> </w:t>
            </w:r>
          </w:p>
        </w:tc>
        <w:tc>
          <w:tcPr>
            <w:tcW w:w="8257" w:type="dxa"/>
            <w:tcBorders>
              <w:bottom w:val="single" w:sz="6" w:space="0" w:color="000000"/>
            </w:tcBorders>
            <w:shd w:fill="D5DCE4" w:val="clear"/>
            <w:tcMar>
              <w:bottom w:w="240" w:type="dxa"/>
            </w:tcMar>
            <w:vAlign w:val="center"/>
          </w:tcPr>
          <w:p>
            <w:pPr>
              <w:pStyle w:val="TableContents"/>
              <w:bidi w:val="0"/>
              <w:spacing w:before="0" w:after="0"/>
              <w:jc w:val="left"/>
              <w:rPr>
                <w:rFonts w:ascii="arial" w:hAnsi="arial"/>
                <w:sz w:val="18"/>
              </w:rPr>
            </w:pPr>
            <w:r>
              <w:rPr>
                <w:rFonts w:ascii="arial" w:hAnsi="arial"/>
                <w:sz w:val="18"/>
              </w:rPr>
              <w:t>Our Board and committees exercise continuing oversight of our business strategy, operations, financial reporting, enterprise and cybersecurity risk management, corporate governance and corporate responsibility programs.</w:t>
            </w:r>
          </w:p>
        </w:tc>
      </w:tr>
      <w:tr>
        <w:trPr/>
        <w:tc>
          <w:tcPr>
            <w:tcW w:w="1888" w:type="dxa"/>
            <w:tcBorders/>
            <w:shd w:fill="2F5496" w:val="clear"/>
            <w:vAlign w:val="center"/>
          </w:tcPr>
          <w:p>
            <w:pPr>
              <w:pStyle w:val="TableContents"/>
              <w:bidi w:val="0"/>
              <w:spacing w:before="0" w:after="283"/>
              <w:jc w:val="left"/>
              <w:rPr>
                <w:sz w:val="4"/>
                <w:szCs w:val="4"/>
              </w:rPr>
            </w:pPr>
            <w:r>
              <w:rPr>
                <w:sz w:val="4"/>
                <w:szCs w:val="4"/>
              </w:rPr>
            </w:r>
          </w:p>
        </w:tc>
        <w:tc>
          <w:tcPr>
            <w:tcW w:w="8317" w:type="dxa"/>
            <w:gridSpan w:val="2"/>
            <w:tcBorders/>
            <w:shd w:fill="D5DCE4" w:val="clear"/>
            <w:vAlign w:val="center"/>
          </w:tcPr>
          <w:p>
            <w:pPr>
              <w:pStyle w:val="TableContents"/>
              <w:bidi w:val="0"/>
              <w:spacing w:before="0" w:after="283"/>
              <w:jc w:val="left"/>
              <w:rPr>
                <w:sz w:val="4"/>
                <w:szCs w:val="4"/>
              </w:rPr>
            </w:pPr>
            <w:r>
              <w:rPr>
                <w:sz w:val="4"/>
                <w:szCs w:val="4"/>
              </w:rPr>
            </w:r>
          </w:p>
        </w:tc>
      </w:tr>
      <w:tr>
        <w:trPr/>
        <w:tc>
          <w:tcPr>
            <w:tcW w:w="1888" w:type="dxa"/>
            <w:tcBorders>
              <w:bottom w:val="single" w:sz="6" w:space="0" w:color="FFFFFF"/>
            </w:tcBorders>
            <w:shd w:fill="2F5496" w:val="clear"/>
            <w:tcMar>
              <w:bottom w:w="240" w:type="dxa"/>
            </w:tcMar>
            <w:vAlign w:val="center"/>
          </w:tcPr>
          <w:p>
            <w:pPr>
              <w:pStyle w:val="TableContents"/>
              <w:bidi w:val="0"/>
              <w:spacing w:before="0" w:after="0"/>
              <w:jc w:val="left"/>
              <w:rPr>
                <w:rFonts w:ascii="arial" w:hAnsi="arial"/>
                <w:color w:val="FFFFFF"/>
                <w:sz w:val="18"/>
              </w:rPr>
            </w:pPr>
            <w:r>
              <w:rPr>
                <w:rFonts w:ascii="arial" w:hAnsi="arial"/>
                <w:color w:val="FFFFFF"/>
                <w:sz w:val="18"/>
              </w:rPr>
              <w:t>Presiding Independent Director</w:t>
            </w:r>
          </w:p>
        </w:tc>
        <w:tc>
          <w:tcPr>
            <w:tcW w:w="60" w:type="dxa"/>
            <w:tcBorders>
              <w:bottom w:val="single" w:sz="6" w:space="0" w:color="000000"/>
            </w:tcBorders>
            <w:shd w:fill="D5DCE4" w:val="clear"/>
            <w:tcMar>
              <w:bottom w:w="28" w:type="dxa"/>
            </w:tcMar>
            <w:vAlign w:val="center"/>
          </w:tcPr>
          <w:p>
            <w:pPr>
              <w:pStyle w:val="TableContents"/>
              <w:bidi w:val="0"/>
              <w:spacing w:before="0" w:after="283"/>
              <w:jc w:val="left"/>
              <w:rPr/>
            </w:pPr>
            <w:r>
              <w:rPr/>
              <w:t> </w:t>
            </w:r>
          </w:p>
        </w:tc>
        <w:tc>
          <w:tcPr>
            <w:tcW w:w="8257" w:type="dxa"/>
            <w:tcBorders>
              <w:bottom w:val="single" w:sz="6" w:space="0" w:color="000000"/>
            </w:tcBorders>
            <w:shd w:fill="D5DCE4" w:val="clear"/>
            <w:tcMar>
              <w:bottom w:w="240" w:type="dxa"/>
            </w:tcMar>
            <w:vAlign w:val="center"/>
          </w:tcPr>
          <w:p>
            <w:pPr>
              <w:pStyle w:val="TableContents"/>
              <w:bidi w:val="0"/>
              <w:spacing w:before="0" w:after="0"/>
              <w:jc w:val="left"/>
              <w:rPr>
                <w:rFonts w:ascii="arial" w:hAnsi="arial"/>
                <w:sz w:val="18"/>
              </w:rPr>
            </w:pPr>
            <w:r>
              <w:rPr>
                <w:rFonts w:ascii="arial" w:hAnsi="arial"/>
                <w:sz w:val="18"/>
              </w:rPr>
              <w:t>We have an active Presiding Independent Director with duties including leading executive sessions of the Board after every regular Board meeting.</w:t>
            </w:r>
          </w:p>
        </w:tc>
      </w:tr>
      <w:tr>
        <w:trPr/>
        <w:tc>
          <w:tcPr>
            <w:tcW w:w="1888" w:type="dxa"/>
            <w:tcBorders/>
            <w:shd w:fill="2F5496" w:val="clear"/>
            <w:vAlign w:val="center"/>
          </w:tcPr>
          <w:p>
            <w:pPr>
              <w:pStyle w:val="TableContents"/>
              <w:bidi w:val="0"/>
              <w:spacing w:before="0" w:after="283"/>
              <w:jc w:val="left"/>
              <w:rPr>
                <w:sz w:val="4"/>
                <w:szCs w:val="4"/>
              </w:rPr>
            </w:pPr>
            <w:r>
              <w:rPr>
                <w:sz w:val="4"/>
                <w:szCs w:val="4"/>
              </w:rPr>
            </w:r>
          </w:p>
        </w:tc>
        <w:tc>
          <w:tcPr>
            <w:tcW w:w="8317" w:type="dxa"/>
            <w:gridSpan w:val="2"/>
            <w:tcBorders/>
            <w:shd w:fill="D5DCE4" w:val="clear"/>
            <w:vAlign w:val="center"/>
          </w:tcPr>
          <w:p>
            <w:pPr>
              <w:pStyle w:val="TableContents"/>
              <w:bidi w:val="0"/>
              <w:spacing w:before="0" w:after="283"/>
              <w:jc w:val="left"/>
              <w:rPr>
                <w:sz w:val="4"/>
                <w:szCs w:val="4"/>
              </w:rPr>
            </w:pPr>
            <w:r>
              <w:rPr>
                <w:sz w:val="4"/>
                <w:szCs w:val="4"/>
              </w:rPr>
            </w:r>
          </w:p>
        </w:tc>
      </w:tr>
      <w:tr>
        <w:trPr/>
        <w:tc>
          <w:tcPr>
            <w:tcW w:w="1888" w:type="dxa"/>
            <w:tcBorders>
              <w:bottom w:val="single" w:sz="6" w:space="0" w:color="FFFFFF"/>
            </w:tcBorders>
            <w:shd w:fill="2F5496" w:val="clear"/>
            <w:tcMar>
              <w:bottom w:w="240" w:type="dxa"/>
            </w:tcMar>
            <w:vAlign w:val="center"/>
          </w:tcPr>
          <w:p>
            <w:pPr>
              <w:pStyle w:val="TableContents"/>
              <w:bidi w:val="0"/>
              <w:spacing w:before="0" w:after="0"/>
              <w:jc w:val="left"/>
              <w:rPr>
                <w:rFonts w:ascii="arial" w:hAnsi="arial"/>
                <w:color w:val="FFFFFF"/>
                <w:sz w:val="18"/>
              </w:rPr>
            </w:pPr>
            <w:r>
              <w:rPr>
                <w:rFonts w:ascii="arial" w:hAnsi="arial"/>
                <w:color w:val="FFFFFF"/>
                <w:sz w:val="18"/>
              </w:rPr>
              <w:t>Annual Board and</w:t>
              <w:br/>
              <w:t>committee self-assessment</w:t>
            </w:r>
          </w:p>
        </w:tc>
        <w:tc>
          <w:tcPr>
            <w:tcW w:w="60" w:type="dxa"/>
            <w:tcBorders>
              <w:bottom w:val="single" w:sz="6" w:space="0" w:color="000000"/>
            </w:tcBorders>
            <w:shd w:fill="D5DCE4" w:val="clear"/>
            <w:tcMar>
              <w:bottom w:w="28" w:type="dxa"/>
            </w:tcMar>
            <w:vAlign w:val="center"/>
          </w:tcPr>
          <w:p>
            <w:pPr>
              <w:pStyle w:val="TableContents"/>
              <w:bidi w:val="0"/>
              <w:spacing w:before="0" w:after="283"/>
              <w:jc w:val="left"/>
              <w:rPr/>
            </w:pPr>
            <w:r>
              <w:rPr/>
              <w:t> </w:t>
            </w:r>
          </w:p>
        </w:tc>
        <w:tc>
          <w:tcPr>
            <w:tcW w:w="8257" w:type="dxa"/>
            <w:tcBorders>
              <w:bottom w:val="single" w:sz="6" w:space="0" w:color="000000"/>
            </w:tcBorders>
            <w:shd w:fill="D5DCE4" w:val="clear"/>
            <w:tcMar>
              <w:bottom w:w="240" w:type="dxa"/>
            </w:tcMar>
            <w:vAlign w:val="center"/>
          </w:tcPr>
          <w:p>
            <w:pPr>
              <w:pStyle w:val="TableContents"/>
              <w:bidi w:val="0"/>
              <w:spacing w:before="0" w:after="0"/>
              <w:jc w:val="left"/>
              <w:rPr>
                <w:rFonts w:ascii="arial" w:hAnsi="arial"/>
                <w:sz w:val="18"/>
              </w:rPr>
            </w:pPr>
            <w:r>
              <w:rPr>
                <w:rFonts w:ascii="arial" w:hAnsi="arial"/>
                <w:sz w:val="18"/>
              </w:rPr>
              <w:t>The Board and its committees conduct an annual self-assessment to assess the functioning and effectiveness of the Board, the committees and the directors.</w:t>
            </w:r>
          </w:p>
        </w:tc>
      </w:tr>
      <w:tr>
        <w:trPr/>
        <w:tc>
          <w:tcPr>
            <w:tcW w:w="1888" w:type="dxa"/>
            <w:tcBorders/>
            <w:shd w:fill="2F5496" w:val="clear"/>
            <w:vAlign w:val="center"/>
          </w:tcPr>
          <w:p>
            <w:pPr>
              <w:pStyle w:val="TableContents"/>
              <w:bidi w:val="0"/>
              <w:spacing w:before="0" w:after="283"/>
              <w:jc w:val="left"/>
              <w:rPr>
                <w:sz w:val="4"/>
                <w:szCs w:val="4"/>
              </w:rPr>
            </w:pPr>
            <w:r>
              <w:rPr>
                <w:sz w:val="4"/>
                <w:szCs w:val="4"/>
              </w:rPr>
            </w:r>
          </w:p>
        </w:tc>
        <w:tc>
          <w:tcPr>
            <w:tcW w:w="8317" w:type="dxa"/>
            <w:gridSpan w:val="2"/>
            <w:tcBorders/>
            <w:shd w:fill="D5DCE4" w:val="clear"/>
            <w:vAlign w:val="center"/>
          </w:tcPr>
          <w:p>
            <w:pPr>
              <w:pStyle w:val="TableContents"/>
              <w:bidi w:val="0"/>
              <w:spacing w:before="0" w:after="283"/>
              <w:jc w:val="left"/>
              <w:rPr>
                <w:sz w:val="4"/>
                <w:szCs w:val="4"/>
              </w:rPr>
            </w:pPr>
            <w:r>
              <w:rPr>
                <w:sz w:val="4"/>
                <w:szCs w:val="4"/>
              </w:rPr>
            </w:r>
          </w:p>
        </w:tc>
      </w:tr>
      <w:tr>
        <w:trPr/>
        <w:tc>
          <w:tcPr>
            <w:tcW w:w="1888" w:type="dxa"/>
            <w:tcBorders>
              <w:bottom w:val="single" w:sz="6" w:space="0" w:color="FFFFFF"/>
            </w:tcBorders>
            <w:shd w:fill="2F5496" w:val="clear"/>
            <w:tcMar>
              <w:bottom w:w="240" w:type="dxa"/>
            </w:tcMar>
            <w:vAlign w:val="center"/>
          </w:tcPr>
          <w:p>
            <w:pPr>
              <w:pStyle w:val="TableContents"/>
              <w:bidi w:val="0"/>
              <w:spacing w:before="0" w:after="0"/>
              <w:jc w:val="left"/>
              <w:rPr>
                <w:rFonts w:ascii="arial" w:hAnsi="arial"/>
                <w:color w:val="FFFFFF"/>
                <w:sz w:val="18"/>
              </w:rPr>
            </w:pPr>
            <w:r>
              <w:rPr>
                <w:rFonts w:ascii="arial" w:hAnsi="arial"/>
                <w:color w:val="FFFFFF"/>
                <w:sz w:val="18"/>
              </w:rPr>
              <w:t>Stockholder engagement</w:t>
            </w:r>
          </w:p>
        </w:tc>
        <w:tc>
          <w:tcPr>
            <w:tcW w:w="60" w:type="dxa"/>
            <w:tcBorders>
              <w:bottom w:val="single" w:sz="6" w:space="0" w:color="000000"/>
            </w:tcBorders>
            <w:shd w:fill="D5DCE4" w:val="clear"/>
            <w:tcMar>
              <w:bottom w:w="28" w:type="dxa"/>
            </w:tcMar>
            <w:vAlign w:val="center"/>
          </w:tcPr>
          <w:p>
            <w:pPr>
              <w:pStyle w:val="TableContents"/>
              <w:bidi w:val="0"/>
              <w:spacing w:before="0" w:after="283"/>
              <w:jc w:val="left"/>
              <w:rPr/>
            </w:pPr>
            <w:r>
              <w:rPr/>
              <w:t> </w:t>
            </w:r>
          </w:p>
        </w:tc>
        <w:tc>
          <w:tcPr>
            <w:tcW w:w="8257" w:type="dxa"/>
            <w:tcBorders>
              <w:bottom w:val="single" w:sz="6" w:space="0" w:color="000000"/>
            </w:tcBorders>
            <w:shd w:fill="D5DCE4" w:val="clear"/>
            <w:tcMar>
              <w:bottom w:w="240" w:type="dxa"/>
            </w:tcMar>
            <w:vAlign w:val="center"/>
          </w:tcPr>
          <w:p>
            <w:pPr>
              <w:pStyle w:val="TableContents"/>
              <w:bidi w:val="0"/>
              <w:spacing w:before="0" w:after="0"/>
              <w:jc w:val="left"/>
              <w:rPr>
                <w:rFonts w:ascii="arial" w:hAnsi="arial"/>
                <w:sz w:val="18"/>
              </w:rPr>
            </w:pPr>
            <w:r>
              <w:rPr>
                <w:rFonts w:ascii="arial" w:hAnsi="arial"/>
                <w:sz w:val="18"/>
              </w:rPr>
              <w:t>We engage with our stockholders throughout the year to obtain their feedback and to better understand their perspectives.</w:t>
            </w:r>
          </w:p>
        </w:tc>
      </w:tr>
      <w:tr>
        <w:trPr/>
        <w:tc>
          <w:tcPr>
            <w:tcW w:w="1888" w:type="dxa"/>
            <w:tcBorders/>
            <w:shd w:fill="2F5496" w:val="clear"/>
            <w:vAlign w:val="center"/>
          </w:tcPr>
          <w:p>
            <w:pPr>
              <w:pStyle w:val="TableContents"/>
              <w:bidi w:val="0"/>
              <w:spacing w:before="0" w:after="283"/>
              <w:jc w:val="left"/>
              <w:rPr>
                <w:sz w:val="4"/>
                <w:szCs w:val="4"/>
              </w:rPr>
            </w:pPr>
            <w:r>
              <w:rPr>
                <w:sz w:val="4"/>
                <w:szCs w:val="4"/>
              </w:rPr>
            </w:r>
          </w:p>
        </w:tc>
        <w:tc>
          <w:tcPr>
            <w:tcW w:w="8317" w:type="dxa"/>
            <w:gridSpan w:val="2"/>
            <w:tcBorders/>
            <w:shd w:fill="D5DCE4" w:val="clear"/>
            <w:vAlign w:val="center"/>
          </w:tcPr>
          <w:p>
            <w:pPr>
              <w:pStyle w:val="TableContents"/>
              <w:bidi w:val="0"/>
              <w:spacing w:before="0" w:after="283"/>
              <w:jc w:val="left"/>
              <w:rPr>
                <w:sz w:val="4"/>
                <w:szCs w:val="4"/>
              </w:rPr>
            </w:pPr>
            <w:r>
              <w:rPr>
                <w:sz w:val="4"/>
                <w:szCs w:val="4"/>
              </w:rPr>
            </w:r>
          </w:p>
        </w:tc>
      </w:tr>
      <w:tr>
        <w:trPr/>
        <w:tc>
          <w:tcPr>
            <w:tcW w:w="1888" w:type="dxa"/>
            <w:tcBorders>
              <w:bottom w:val="single" w:sz="6" w:space="0" w:color="FFFFFF"/>
            </w:tcBorders>
            <w:shd w:fill="2F5496" w:val="clear"/>
            <w:tcMar>
              <w:bottom w:w="240" w:type="dxa"/>
            </w:tcMar>
            <w:vAlign w:val="center"/>
          </w:tcPr>
          <w:p>
            <w:pPr>
              <w:pStyle w:val="TableContents"/>
              <w:bidi w:val="0"/>
              <w:spacing w:before="0" w:after="0"/>
              <w:jc w:val="left"/>
              <w:rPr>
                <w:rFonts w:ascii="arial" w:hAnsi="arial"/>
                <w:color w:val="FFFFFF"/>
                <w:sz w:val="18"/>
              </w:rPr>
            </w:pPr>
            <w:r>
              <w:rPr>
                <w:rFonts w:ascii="arial" w:hAnsi="arial"/>
                <w:color w:val="FFFFFF"/>
                <w:sz w:val="18"/>
              </w:rPr>
              <w:t>Code of Business Conduct</w:t>
              <w:br/>
              <w:t>and Ethics</w:t>
            </w:r>
          </w:p>
        </w:tc>
        <w:tc>
          <w:tcPr>
            <w:tcW w:w="60" w:type="dxa"/>
            <w:tcBorders>
              <w:bottom w:val="single" w:sz="6" w:space="0" w:color="000000"/>
            </w:tcBorders>
            <w:shd w:fill="D5DCE4" w:val="clear"/>
            <w:tcMar>
              <w:bottom w:w="28" w:type="dxa"/>
            </w:tcMar>
            <w:vAlign w:val="center"/>
          </w:tcPr>
          <w:p>
            <w:pPr>
              <w:pStyle w:val="TableContents"/>
              <w:bidi w:val="0"/>
              <w:spacing w:before="0" w:after="283"/>
              <w:jc w:val="left"/>
              <w:rPr/>
            </w:pPr>
            <w:r>
              <w:rPr/>
              <w:t> </w:t>
            </w:r>
          </w:p>
        </w:tc>
        <w:tc>
          <w:tcPr>
            <w:tcW w:w="8257" w:type="dxa"/>
            <w:tcBorders>
              <w:bottom w:val="single" w:sz="6" w:space="0" w:color="000000"/>
            </w:tcBorders>
            <w:shd w:fill="D5DCE4" w:val="clear"/>
            <w:tcMar>
              <w:bottom w:w="240" w:type="dxa"/>
            </w:tcMar>
            <w:vAlign w:val="center"/>
          </w:tcPr>
          <w:p>
            <w:pPr>
              <w:pStyle w:val="TableContents"/>
              <w:bidi w:val="0"/>
              <w:spacing w:before="0" w:after="0"/>
              <w:jc w:val="left"/>
              <w:rPr>
                <w:rFonts w:ascii="arial" w:hAnsi="arial"/>
                <w:sz w:val="18"/>
              </w:rPr>
            </w:pPr>
            <w:r>
              <w:rPr>
                <w:rFonts w:ascii="arial" w:hAnsi="arial"/>
                <w:sz w:val="18"/>
              </w:rPr>
              <w:t>Our Code of Business Conduct and Ethics, applicable to our directors, officers and employees, reinforces our culture of ethical conduct and accountability.</w:t>
            </w:r>
          </w:p>
        </w:tc>
      </w:tr>
      <w:tr>
        <w:trPr/>
        <w:tc>
          <w:tcPr>
            <w:tcW w:w="1888" w:type="dxa"/>
            <w:tcBorders/>
            <w:shd w:fill="2F5496" w:val="clear"/>
            <w:vAlign w:val="center"/>
          </w:tcPr>
          <w:p>
            <w:pPr>
              <w:pStyle w:val="TableContents"/>
              <w:bidi w:val="0"/>
              <w:spacing w:before="0" w:after="283"/>
              <w:jc w:val="left"/>
              <w:rPr>
                <w:sz w:val="4"/>
                <w:szCs w:val="4"/>
              </w:rPr>
            </w:pPr>
            <w:r>
              <w:rPr>
                <w:sz w:val="4"/>
                <w:szCs w:val="4"/>
              </w:rPr>
            </w:r>
          </w:p>
        </w:tc>
        <w:tc>
          <w:tcPr>
            <w:tcW w:w="8317" w:type="dxa"/>
            <w:gridSpan w:val="2"/>
            <w:tcBorders/>
            <w:shd w:fill="D5DCE4" w:val="clear"/>
            <w:vAlign w:val="center"/>
          </w:tcPr>
          <w:p>
            <w:pPr>
              <w:pStyle w:val="TableContents"/>
              <w:bidi w:val="0"/>
              <w:spacing w:before="0" w:after="283"/>
              <w:jc w:val="left"/>
              <w:rPr>
                <w:sz w:val="4"/>
                <w:szCs w:val="4"/>
              </w:rPr>
            </w:pPr>
            <w:r>
              <w:rPr>
                <w:sz w:val="4"/>
                <w:szCs w:val="4"/>
              </w:rPr>
            </w:r>
          </w:p>
        </w:tc>
      </w:tr>
      <w:tr>
        <w:trPr/>
        <w:tc>
          <w:tcPr>
            <w:tcW w:w="1888" w:type="dxa"/>
            <w:tcBorders>
              <w:bottom w:val="single" w:sz="6" w:space="0" w:color="FFFFFF"/>
            </w:tcBorders>
            <w:shd w:fill="2F5496" w:val="clear"/>
            <w:tcMar>
              <w:bottom w:w="240" w:type="dxa"/>
            </w:tcMar>
            <w:vAlign w:val="center"/>
          </w:tcPr>
          <w:p>
            <w:pPr>
              <w:pStyle w:val="TableContents"/>
              <w:bidi w:val="0"/>
              <w:spacing w:before="0" w:after="0"/>
              <w:jc w:val="left"/>
              <w:rPr>
                <w:rFonts w:ascii="arial" w:hAnsi="arial"/>
                <w:color w:val="FFFFFF"/>
                <w:sz w:val="18"/>
              </w:rPr>
            </w:pPr>
            <w:r>
              <w:rPr>
                <w:rFonts w:ascii="arial" w:hAnsi="arial"/>
                <w:color w:val="FFFFFF"/>
                <w:sz w:val="18"/>
              </w:rPr>
              <w:t>Compensation clawback</w:t>
              <w:br/>
              <w:t>policies</w:t>
            </w:r>
          </w:p>
        </w:tc>
        <w:tc>
          <w:tcPr>
            <w:tcW w:w="60" w:type="dxa"/>
            <w:tcBorders>
              <w:bottom w:val="single" w:sz="6" w:space="0" w:color="000000"/>
            </w:tcBorders>
            <w:shd w:fill="D5DCE4" w:val="clear"/>
            <w:tcMar>
              <w:bottom w:w="28" w:type="dxa"/>
            </w:tcMar>
            <w:vAlign w:val="center"/>
          </w:tcPr>
          <w:p>
            <w:pPr>
              <w:pStyle w:val="TableContents"/>
              <w:bidi w:val="0"/>
              <w:spacing w:before="0" w:after="283"/>
              <w:jc w:val="left"/>
              <w:rPr/>
            </w:pPr>
            <w:r>
              <w:rPr/>
              <w:t> </w:t>
            </w:r>
          </w:p>
        </w:tc>
        <w:tc>
          <w:tcPr>
            <w:tcW w:w="8257" w:type="dxa"/>
            <w:tcBorders>
              <w:bottom w:val="single" w:sz="6" w:space="0" w:color="000000"/>
            </w:tcBorders>
            <w:shd w:fill="D5DCE4" w:val="clear"/>
            <w:tcMar>
              <w:bottom w:w="240" w:type="dxa"/>
            </w:tcMar>
            <w:vAlign w:val="center"/>
          </w:tcPr>
          <w:p>
            <w:pPr>
              <w:pStyle w:val="TableContents"/>
              <w:bidi w:val="0"/>
              <w:spacing w:before="0" w:after="0"/>
              <w:jc w:val="left"/>
              <w:rPr>
                <w:rFonts w:ascii="arial" w:hAnsi="arial"/>
                <w:sz w:val="18"/>
              </w:rPr>
            </w:pPr>
            <w:r>
              <w:rPr>
                <w:rFonts w:ascii="arial" w:hAnsi="arial"/>
                <w:sz w:val="18"/>
              </w:rPr>
              <w:t>Our clawback policies, applicable to our executive officers, provide for mandatory recoupment of incentive compensation in the event of a financial restatement and discretionary recoupment in cases of grossly negligent or intentional misconduct.</w:t>
            </w:r>
          </w:p>
        </w:tc>
      </w:tr>
      <w:tr>
        <w:trPr/>
        <w:tc>
          <w:tcPr>
            <w:tcW w:w="1888" w:type="dxa"/>
            <w:tcBorders/>
            <w:shd w:fill="2F5496" w:val="clear"/>
            <w:vAlign w:val="center"/>
          </w:tcPr>
          <w:p>
            <w:pPr>
              <w:pStyle w:val="TableContents"/>
              <w:bidi w:val="0"/>
              <w:spacing w:before="0" w:after="283"/>
              <w:jc w:val="left"/>
              <w:rPr>
                <w:sz w:val="4"/>
                <w:szCs w:val="4"/>
              </w:rPr>
            </w:pPr>
            <w:r>
              <w:rPr>
                <w:sz w:val="4"/>
                <w:szCs w:val="4"/>
              </w:rPr>
            </w:r>
          </w:p>
        </w:tc>
        <w:tc>
          <w:tcPr>
            <w:tcW w:w="8317" w:type="dxa"/>
            <w:gridSpan w:val="2"/>
            <w:tcBorders/>
            <w:shd w:fill="D5DCE4" w:val="clear"/>
            <w:vAlign w:val="center"/>
          </w:tcPr>
          <w:p>
            <w:pPr>
              <w:pStyle w:val="TableContents"/>
              <w:bidi w:val="0"/>
              <w:spacing w:before="0" w:after="283"/>
              <w:jc w:val="left"/>
              <w:rPr>
                <w:sz w:val="4"/>
                <w:szCs w:val="4"/>
              </w:rPr>
            </w:pPr>
            <w:r>
              <w:rPr>
                <w:sz w:val="4"/>
                <w:szCs w:val="4"/>
              </w:rPr>
            </w:r>
          </w:p>
        </w:tc>
      </w:tr>
      <w:tr>
        <w:trPr/>
        <w:tc>
          <w:tcPr>
            <w:tcW w:w="1888" w:type="dxa"/>
            <w:tcBorders>
              <w:bottom w:val="single" w:sz="6" w:space="0" w:color="FFFFFF"/>
            </w:tcBorders>
            <w:shd w:fill="2F5496" w:val="clear"/>
            <w:tcMar>
              <w:bottom w:w="240" w:type="dxa"/>
            </w:tcMar>
            <w:vAlign w:val="center"/>
          </w:tcPr>
          <w:p>
            <w:pPr>
              <w:pStyle w:val="TableContents"/>
              <w:bidi w:val="0"/>
              <w:spacing w:before="0" w:after="0"/>
              <w:jc w:val="left"/>
              <w:rPr>
                <w:rFonts w:ascii="arial" w:hAnsi="arial"/>
                <w:color w:val="FFFFFF"/>
                <w:sz w:val="18"/>
              </w:rPr>
            </w:pPr>
            <w:r>
              <w:rPr>
                <w:rFonts w:ascii="arial" w:hAnsi="arial"/>
                <w:color w:val="FFFFFF"/>
                <w:sz w:val="18"/>
              </w:rPr>
              <w:t>Robust equity ownership</w:t>
              <w:br/>
              <w:t>requirements</w:t>
            </w:r>
          </w:p>
        </w:tc>
        <w:tc>
          <w:tcPr>
            <w:tcW w:w="60" w:type="dxa"/>
            <w:tcBorders>
              <w:bottom w:val="single" w:sz="6" w:space="0" w:color="000000"/>
            </w:tcBorders>
            <w:shd w:fill="D5DCE4" w:val="clear"/>
            <w:tcMar>
              <w:bottom w:w="28" w:type="dxa"/>
            </w:tcMar>
            <w:vAlign w:val="center"/>
          </w:tcPr>
          <w:p>
            <w:pPr>
              <w:pStyle w:val="TableContents"/>
              <w:bidi w:val="0"/>
              <w:spacing w:before="0" w:after="283"/>
              <w:jc w:val="left"/>
              <w:rPr/>
            </w:pPr>
            <w:r>
              <w:rPr/>
              <w:t> </w:t>
            </w:r>
          </w:p>
        </w:tc>
        <w:tc>
          <w:tcPr>
            <w:tcW w:w="8257" w:type="dxa"/>
            <w:tcBorders>
              <w:bottom w:val="single" w:sz="6" w:space="0" w:color="000000"/>
            </w:tcBorders>
            <w:shd w:fill="D5DCE4" w:val="clear"/>
            <w:tcMar>
              <w:bottom w:w="240" w:type="dxa"/>
            </w:tcMar>
            <w:vAlign w:val="center"/>
          </w:tcPr>
          <w:p>
            <w:pPr>
              <w:pStyle w:val="TableContents"/>
              <w:bidi w:val="0"/>
              <w:spacing w:before="0" w:after="0"/>
              <w:jc w:val="left"/>
              <w:rPr>
                <w:rFonts w:ascii="arial" w:hAnsi="arial"/>
                <w:sz w:val="18"/>
              </w:rPr>
            </w:pPr>
            <w:r>
              <w:rPr>
                <w:rFonts w:ascii="arial" w:hAnsi="arial"/>
                <w:sz w:val="18"/>
              </w:rPr>
              <w:t>Executive officers are required to hold Company stock in a multiple of salary, and non-employee directors are required to hold Company stock equal to the greater of $425,000 or five times annual cash retainer (excluding committee and presiding independent director retainers).</w:t>
            </w:r>
          </w:p>
        </w:tc>
      </w:tr>
      <w:tr>
        <w:trPr/>
        <w:tc>
          <w:tcPr>
            <w:tcW w:w="1888" w:type="dxa"/>
            <w:tcBorders/>
            <w:shd w:fill="2F5496" w:val="clear"/>
            <w:vAlign w:val="center"/>
          </w:tcPr>
          <w:p>
            <w:pPr>
              <w:pStyle w:val="TableContents"/>
              <w:bidi w:val="0"/>
              <w:spacing w:before="0" w:after="283"/>
              <w:jc w:val="left"/>
              <w:rPr>
                <w:sz w:val="4"/>
                <w:szCs w:val="4"/>
              </w:rPr>
            </w:pPr>
            <w:r>
              <w:rPr>
                <w:sz w:val="4"/>
                <w:szCs w:val="4"/>
              </w:rPr>
            </w:r>
          </w:p>
        </w:tc>
        <w:tc>
          <w:tcPr>
            <w:tcW w:w="8317" w:type="dxa"/>
            <w:gridSpan w:val="2"/>
            <w:tcBorders/>
            <w:shd w:fill="D5DCE4" w:val="clear"/>
            <w:vAlign w:val="center"/>
          </w:tcPr>
          <w:p>
            <w:pPr>
              <w:pStyle w:val="TableContents"/>
              <w:bidi w:val="0"/>
              <w:spacing w:before="0" w:after="283"/>
              <w:jc w:val="left"/>
              <w:rPr>
                <w:sz w:val="4"/>
                <w:szCs w:val="4"/>
              </w:rPr>
            </w:pPr>
            <w:r>
              <w:rPr>
                <w:sz w:val="4"/>
                <w:szCs w:val="4"/>
              </w:rPr>
            </w:r>
          </w:p>
        </w:tc>
      </w:tr>
      <w:tr>
        <w:trPr/>
        <w:tc>
          <w:tcPr>
            <w:tcW w:w="1888" w:type="dxa"/>
            <w:tcBorders>
              <w:bottom w:val="single" w:sz="6" w:space="0" w:color="FFFFFF"/>
            </w:tcBorders>
            <w:shd w:fill="2F5496" w:val="clear"/>
            <w:tcMar>
              <w:bottom w:w="240" w:type="dxa"/>
            </w:tcMar>
            <w:vAlign w:val="center"/>
          </w:tcPr>
          <w:p>
            <w:pPr>
              <w:pStyle w:val="TableContents"/>
              <w:bidi w:val="0"/>
              <w:spacing w:before="0" w:after="0"/>
              <w:jc w:val="left"/>
              <w:rPr>
                <w:rFonts w:ascii="arial" w:hAnsi="arial"/>
                <w:color w:val="FFFFFF"/>
                <w:sz w:val="18"/>
              </w:rPr>
            </w:pPr>
            <w:r>
              <w:rPr>
                <w:rFonts w:ascii="arial" w:hAnsi="arial"/>
                <w:color w:val="FFFFFF"/>
                <w:sz w:val="18"/>
              </w:rPr>
              <w:t>Prohibition on hedging and</w:t>
              <w:br/>
              <w:t>pledging</w:t>
            </w:r>
          </w:p>
        </w:tc>
        <w:tc>
          <w:tcPr>
            <w:tcW w:w="60" w:type="dxa"/>
            <w:tcBorders>
              <w:bottom w:val="single" w:sz="6" w:space="0" w:color="000000"/>
            </w:tcBorders>
            <w:shd w:fill="D5DCE4" w:val="clear"/>
            <w:tcMar>
              <w:bottom w:w="28" w:type="dxa"/>
            </w:tcMar>
            <w:vAlign w:val="center"/>
          </w:tcPr>
          <w:p>
            <w:pPr>
              <w:pStyle w:val="TableContents"/>
              <w:bidi w:val="0"/>
              <w:spacing w:before="0" w:after="283"/>
              <w:jc w:val="left"/>
              <w:rPr/>
            </w:pPr>
            <w:r>
              <w:rPr/>
              <w:t> </w:t>
            </w:r>
          </w:p>
        </w:tc>
        <w:tc>
          <w:tcPr>
            <w:tcW w:w="8257" w:type="dxa"/>
            <w:tcBorders>
              <w:bottom w:val="single" w:sz="6" w:space="0" w:color="000000"/>
            </w:tcBorders>
            <w:shd w:fill="D5DCE4" w:val="clear"/>
            <w:tcMar>
              <w:bottom w:w="240" w:type="dxa"/>
            </w:tcMar>
            <w:vAlign w:val="center"/>
          </w:tcPr>
          <w:p>
            <w:pPr>
              <w:pStyle w:val="TableContents"/>
              <w:bidi w:val="0"/>
              <w:spacing w:before="0" w:after="0"/>
              <w:jc w:val="left"/>
              <w:rPr>
                <w:rFonts w:ascii="arial" w:hAnsi="arial"/>
                <w:sz w:val="18"/>
              </w:rPr>
            </w:pPr>
            <w:r>
              <w:rPr>
                <w:rFonts w:ascii="arial" w:hAnsi="arial"/>
                <w:sz w:val="18"/>
              </w:rPr>
              <w:t>Our officers, directors and designated employees are prohibited from entering into hedging and pledging transactions involving Company stock (the Board has made an exception for our CEO, see Footnote 2 in the “</w:t>
            </w:r>
            <w:r>
              <w:rPr>
                <w:rFonts w:ascii="arial" w:hAnsi="arial"/>
                <w:i/>
                <w:sz w:val="18"/>
              </w:rPr>
              <w:t>Stock Ownership Table”</w:t>
            </w:r>
            <w:r>
              <w:rPr>
                <w:rFonts w:ascii="arial" w:hAnsi="arial"/>
                <w:sz w:val="18"/>
              </w:rPr>
              <w:t xml:space="preserve"> beginning on page 79).</w:t>
            </w:r>
          </w:p>
        </w:tc>
      </w:tr>
      <w:tr>
        <w:trPr/>
        <w:tc>
          <w:tcPr>
            <w:tcW w:w="1888" w:type="dxa"/>
            <w:tcBorders/>
            <w:shd w:fill="2F5496" w:val="clear"/>
            <w:vAlign w:val="center"/>
          </w:tcPr>
          <w:p>
            <w:pPr>
              <w:pStyle w:val="TableContents"/>
              <w:bidi w:val="0"/>
              <w:spacing w:before="0" w:after="283"/>
              <w:jc w:val="left"/>
              <w:rPr>
                <w:sz w:val="4"/>
                <w:szCs w:val="4"/>
              </w:rPr>
            </w:pPr>
            <w:r>
              <w:rPr>
                <w:sz w:val="4"/>
                <w:szCs w:val="4"/>
              </w:rPr>
            </w:r>
          </w:p>
        </w:tc>
        <w:tc>
          <w:tcPr>
            <w:tcW w:w="8317" w:type="dxa"/>
            <w:gridSpan w:val="2"/>
            <w:tcBorders/>
            <w:shd w:fill="D5DCE4" w:val="clear"/>
            <w:vAlign w:val="center"/>
          </w:tcPr>
          <w:p>
            <w:pPr>
              <w:pStyle w:val="TableContents"/>
              <w:bidi w:val="0"/>
              <w:spacing w:before="0" w:after="283"/>
              <w:jc w:val="left"/>
              <w:rPr>
                <w:sz w:val="4"/>
                <w:szCs w:val="4"/>
              </w:rPr>
            </w:pPr>
            <w:r>
              <w:rPr>
                <w:sz w:val="4"/>
                <w:szCs w:val="4"/>
              </w:rPr>
            </w:r>
          </w:p>
        </w:tc>
      </w:tr>
      <w:tr>
        <w:trPr/>
        <w:tc>
          <w:tcPr>
            <w:tcW w:w="1888" w:type="dxa"/>
            <w:tcBorders>
              <w:bottom w:val="single" w:sz="12" w:space="0" w:color="1070B8"/>
            </w:tcBorders>
            <w:shd w:fill="2F5496" w:val="clear"/>
            <w:tcMar>
              <w:bottom w:w="240" w:type="dxa"/>
            </w:tcMar>
            <w:vAlign w:val="center"/>
          </w:tcPr>
          <w:p>
            <w:pPr>
              <w:pStyle w:val="TableContents"/>
              <w:bidi w:val="0"/>
              <w:spacing w:before="0" w:after="0"/>
              <w:jc w:val="left"/>
              <w:rPr>
                <w:rFonts w:ascii="arial" w:hAnsi="arial"/>
                <w:color w:val="FFFFFF"/>
                <w:sz w:val="18"/>
              </w:rPr>
            </w:pPr>
            <w:r>
              <w:rPr>
                <w:rFonts w:ascii="arial" w:hAnsi="arial"/>
                <w:color w:val="FFFFFF"/>
                <w:sz w:val="18"/>
              </w:rPr>
              <w:t>Succession Planning</w:t>
            </w:r>
          </w:p>
        </w:tc>
        <w:tc>
          <w:tcPr>
            <w:tcW w:w="60" w:type="dxa"/>
            <w:tcBorders>
              <w:bottom w:val="single" w:sz="12" w:space="0" w:color="1070B8"/>
            </w:tcBorders>
            <w:shd w:fill="D5DCE4" w:val="clear"/>
            <w:tcMar>
              <w:bottom w:w="28" w:type="dxa"/>
            </w:tcMar>
            <w:vAlign w:val="center"/>
          </w:tcPr>
          <w:p>
            <w:pPr>
              <w:pStyle w:val="TableContents"/>
              <w:bidi w:val="0"/>
              <w:spacing w:before="0" w:after="283"/>
              <w:jc w:val="left"/>
              <w:rPr/>
            </w:pPr>
            <w:r>
              <w:rPr/>
              <w:t> </w:t>
            </w:r>
          </w:p>
        </w:tc>
        <w:tc>
          <w:tcPr>
            <w:tcW w:w="8257" w:type="dxa"/>
            <w:tcBorders>
              <w:bottom w:val="single" w:sz="12" w:space="0" w:color="1070B8"/>
            </w:tcBorders>
            <w:shd w:fill="D5DCE4" w:val="clear"/>
            <w:tcMar>
              <w:bottom w:w="240" w:type="dxa"/>
            </w:tcMar>
            <w:vAlign w:val="center"/>
          </w:tcPr>
          <w:p>
            <w:pPr>
              <w:pStyle w:val="TableContents"/>
              <w:bidi w:val="0"/>
              <w:spacing w:before="0" w:after="0"/>
              <w:jc w:val="left"/>
              <w:rPr>
                <w:rFonts w:ascii="arial" w:hAnsi="arial"/>
                <w:sz w:val="18"/>
              </w:rPr>
            </w:pPr>
            <w:r>
              <w:rPr>
                <w:rFonts w:ascii="arial" w:hAnsi="arial"/>
                <w:sz w:val="18"/>
              </w:rPr>
              <w:t>The Board and NCG Committee annually review senior management succession and leadership development plans.</w:t>
            </w:r>
          </w:p>
        </w:tc>
      </w:tr>
    </w:tbl>
    <w:p>
      <w:pPr>
        <w:pStyle w:val="TextBody"/>
        <w:bidi w:val="0"/>
        <w:spacing w:before="240" w:after="0"/>
        <w:jc w:val="left"/>
        <w:rPr>
          <w:rFonts w:ascii="arial" w:hAnsi="arial"/>
          <w:b/>
          <w:color w:val="1F295C"/>
          <w:sz w:val="24"/>
        </w:rPr>
      </w:pPr>
      <w:bookmarkStart w:id="24" w:name="toc849638_25"/>
      <w:bookmarkEnd w:id="24"/>
      <w:r>
        <w:rPr>
          <w:rFonts w:ascii="arial" w:hAnsi="arial"/>
          <w:b/>
          <w:color w:val="1F295C"/>
          <w:sz w:val="24"/>
        </w:rPr>
        <w:t xml:space="preserve">Board Structure and Responsibilities </w:t>
      </w:r>
    </w:p>
    <w:p>
      <w:pPr>
        <w:pStyle w:val="TextBody"/>
        <w:bidi w:val="0"/>
        <w:spacing w:before="240" w:after="0"/>
        <w:jc w:val="left"/>
        <w:rPr>
          <w:rFonts w:ascii="arial" w:hAnsi="arial"/>
          <w:sz w:val="20"/>
        </w:rPr>
      </w:pPr>
      <w:r>
        <w:rPr>
          <w:rFonts w:ascii="arial" w:hAnsi="arial"/>
          <w:sz w:val="20"/>
        </w:rPr>
        <w:t xml:space="preserve">Our business strategy, operations and risk management are overseen by our Board of Directors. Management is responsible for the day-to-day management of the Company’s operations and risk exposure, with the Board providing oversight and independent business judgment on issues most important to the Company. The Board’s responsibilities include oversight of: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200"/>
        <w:gridCol w:w="60"/>
        <w:gridCol w:w="36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arial" w:hAnsi="arial"/>
                <w:sz w:val="20"/>
              </w:rPr>
            </w:pPr>
            <w:r>
              <w:rPr>
                <w:rFonts w:ascii="arial" w:hAnsi="arial"/>
                <w:sz w:val="20"/>
              </w:rPr>
              <w:t xml:space="preserve">Business strategy and strategic planning; </w:t>
            </w:r>
          </w:p>
        </w:tc>
      </w:tr>
    </w:tbl>
    <w:tbl>
      <w:tblPr>
        <w:tblW w:w="3430" w:type="dxa"/>
        <w:jc w:val="left"/>
        <w:tblInd w:w="0" w:type="dxa"/>
        <w:tblLayout w:type="fixed"/>
        <w:tblCellMar>
          <w:top w:w="0" w:type="dxa"/>
          <w:left w:w="0" w:type="dxa"/>
          <w:bottom w:w="0" w:type="dxa"/>
          <w:right w:w="0" w:type="dxa"/>
        </w:tblCellMar>
      </w:tblPr>
      <w:tblGrid>
        <w:gridCol w:w="75"/>
        <w:gridCol w:w="200"/>
        <w:gridCol w:w="60"/>
        <w:gridCol w:w="30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rFonts w:ascii="arial" w:hAnsi="arial"/>
                <w:sz w:val="20"/>
              </w:rPr>
            </w:pPr>
            <w:r>
              <w:rPr>
                <w:rFonts w:ascii="arial" w:hAnsi="arial"/>
                <w:sz w:val="20"/>
              </w:rPr>
              <w:t xml:space="preserve">Mergers and acquisitions strategy; </w:t>
            </w:r>
          </w:p>
        </w:tc>
      </w:tr>
    </w:tbl>
    <w:tbl>
      <w:tblPr>
        <w:tblW w:w="3295" w:type="dxa"/>
        <w:jc w:val="left"/>
        <w:tblInd w:w="0" w:type="dxa"/>
        <w:tblLayout w:type="fixed"/>
        <w:tblCellMar>
          <w:top w:w="0" w:type="dxa"/>
          <w:left w:w="0" w:type="dxa"/>
          <w:bottom w:w="0" w:type="dxa"/>
          <w:right w:w="0" w:type="dxa"/>
        </w:tblCellMar>
      </w:tblPr>
      <w:tblGrid>
        <w:gridCol w:w="75"/>
        <w:gridCol w:w="200"/>
        <w:gridCol w:w="60"/>
        <w:gridCol w:w="29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0"/>
              <w:jc w:val="left"/>
              <w:rPr>
                <w:rFonts w:ascii="arial" w:hAnsi="arial"/>
                <w:sz w:val="20"/>
              </w:rPr>
            </w:pPr>
            <w:r>
              <w:rPr>
                <w:rFonts w:ascii="arial" w:hAnsi="arial"/>
                <w:sz w:val="20"/>
              </w:rPr>
              <w:t xml:space="preserve">Strategic opportunities and risks; </w:t>
            </w:r>
          </w:p>
        </w:tc>
      </w:tr>
    </w:tbl>
    <w:tbl>
      <w:tblPr>
        <w:tblW w:w="4630" w:type="dxa"/>
        <w:jc w:val="left"/>
        <w:tblInd w:w="0" w:type="dxa"/>
        <w:tblLayout w:type="fixed"/>
        <w:tblCellMar>
          <w:top w:w="0" w:type="dxa"/>
          <w:left w:w="0" w:type="dxa"/>
          <w:bottom w:w="0" w:type="dxa"/>
          <w:right w:w="0" w:type="dxa"/>
        </w:tblCellMar>
      </w:tblPr>
      <w:tblGrid>
        <w:gridCol w:w="75"/>
        <w:gridCol w:w="200"/>
        <w:gridCol w:w="60"/>
        <w:gridCol w:w="42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left"/>
              <w:rPr>
                <w:rFonts w:ascii="arial" w:hAnsi="arial"/>
                <w:sz w:val="20"/>
              </w:rPr>
            </w:pPr>
            <w:r>
              <w:rPr>
                <w:rFonts w:ascii="arial" w:hAnsi="arial"/>
                <w:sz w:val="20"/>
              </w:rPr>
              <w:t xml:space="preserve">Strategic, operational and financial performance; </w:t>
            </w:r>
          </w:p>
        </w:tc>
      </w:tr>
    </w:tbl>
    <w:tbl>
      <w:tblPr>
        <w:tblW w:w="2275" w:type="dxa"/>
        <w:jc w:val="left"/>
        <w:tblInd w:w="0" w:type="dxa"/>
        <w:tblLayout w:type="fixed"/>
        <w:tblCellMar>
          <w:top w:w="0" w:type="dxa"/>
          <w:left w:w="0" w:type="dxa"/>
          <w:bottom w:w="0" w:type="dxa"/>
          <w:right w:w="0" w:type="dxa"/>
        </w:tblCellMar>
      </w:tblPr>
      <w:tblGrid>
        <w:gridCol w:w="75"/>
        <w:gridCol w:w="200"/>
        <w:gridCol w:w="60"/>
        <w:gridCol w:w="19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arial" w:hAnsi="arial"/>
                <w:sz w:val="20"/>
              </w:rPr>
            </w:pPr>
            <w:r>
              <w:rPr>
                <w:rFonts w:ascii="arial" w:hAnsi="arial"/>
                <w:sz w:val="20"/>
              </w:rPr>
              <w:t xml:space="preserve">Capital management; </w:t>
            </w:r>
          </w:p>
        </w:tc>
      </w:tr>
    </w:tbl>
    <w:tbl>
      <w:tblPr>
        <w:tblW w:w="4855" w:type="dxa"/>
        <w:jc w:val="left"/>
        <w:tblInd w:w="0" w:type="dxa"/>
        <w:tblLayout w:type="fixed"/>
        <w:tblCellMar>
          <w:top w:w="0" w:type="dxa"/>
          <w:left w:w="0" w:type="dxa"/>
          <w:bottom w:w="0" w:type="dxa"/>
          <w:right w:w="0" w:type="dxa"/>
        </w:tblCellMar>
      </w:tblPr>
      <w:tblGrid>
        <w:gridCol w:w="75"/>
        <w:gridCol w:w="200"/>
        <w:gridCol w:w="60"/>
        <w:gridCol w:w="45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arial" w:hAnsi="arial"/>
                <w:sz w:val="20"/>
              </w:rPr>
            </w:pPr>
            <w:r>
              <w:rPr>
                <w:rFonts w:ascii="arial" w:hAnsi="arial"/>
                <w:sz w:val="20"/>
              </w:rPr>
              <w:t xml:space="preserve">Compliance with legal and regulatory requirements; </w:t>
            </w:r>
          </w:p>
        </w:tc>
      </w:tr>
    </w:tbl>
    <w:tbl>
      <w:tblPr>
        <w:tblW w:w="5050" w:type="dxa"/>
        <w:jc w:val="left"/>
        <w:tblInd w:w="0" w:type="dxa"/>
        <w:tblLayout w:type="fixed"/>
        <w:tblCellMar>
          <w:top w:w="0" w:type="dxa"/>
          <w:left w:w="0" w:type="dxa"/>
          <w:bottom w:w="0" w:type="dxa"/>
          <w:right w:w="0" w:type="dxa"/>
        </w:tblCellMar>
      </w:tblPr>
      <w:tblGrid>
        <w:gridCol w:w="75"/>
        <w:gridCol w:w="200"/>
        <w:gridCol w:w="60"/>
        <w:gridCol w:w="47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arial" w:hAnsi="arial"/>
                <w:sz w:val="20"/>
              </w:rPr>
            </w:pPr>
            <w:r>
              <w:rPr>
                <w:rFonts w:ascii="arial" w:hAnsi="arial"/>
                <w:sz w:val="20"/>
              </w:rPr>
              <w:t xml:space="preserve">Integrity of financial statements and internal controls; </w:t>
            </w:r>
          </w:p>
        </w:tc>
      </w:tr>
    </w:tbl>
    <w:tbl>
      <w:tblPr>
        <w:tblW w:w="9040" w:type="dxa"/>
        <w:jc w:val="left"/>
        <w:tblInd w:w="0" w:type="dxa"/>
        <w:tblLayout w:type="fixed"/>
        <w:tblCellMar>
          <w:top w:w="0" w:type="dxa"/>
          <w:left w:w="0" w:type="dxa"/>
          <w:bottom w:w="0" w:type="dxa"/>
          <w:right w:w="0" w:type="dxa"/>
        </w:tblCellMar>
      </w:tblPr>
      <w:tblGrid>
        <w:gridCol w:w="75"/>
        <w:gridCol w:w="200"/>
        <w:gridCol w:w="60"/>
        <w:gridCol w:w="87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left"/>
              <w:rPr>
                <w:rFonts w:ascii="arial" w:hAnsi="arial"/>
                <w:sz w:val="20"/>
              </w:rPr>
            </w:pPr>
            <w:r>
              <w:rPr>
                <w:rFonts w:ascii="arial" w:hAnsi="arial"/>
                <w:sz w:val="20"/>
              </w:rPr>
              <w:t xml:space="preserve">Practices for identifying, managing and mitigating key enterprise risks, including cybersecurity risk; </w:t>
            </w:r>
          </w:p>
        </w:tc>
      </w:tr>
    </w:tbl>
    <w:tbl>
      <w:tblPr>
        <w:tblW w:w="6775" w:type="dxa"/>
        <w:jc w:val="left"/>
        <w:tblInd w:w="0" w:type="dxa"/>
        <w:tblLayout w:type="fixed"/>
        <w:tblCellMar>
          <w:top w:w="0" w:type="dxa"/>
          <w:left w:w="0" w:type="dxa"/>
          <w:bottom w:w="0" w:type="dxa"/>
          <w:right w:w="0" w:type="dxa"/>
        </w:tblCellMar>
      </w:tblPr>
      <w:tblGrid>
        <w:gridCol w:w="75"/>
        <w:gridCol w:w="200"/>
        <w:gridCol w:w="60"/>
        <w:gridCol w:w="64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arial" w:hAnsi="arial"/>
                <w:sz w:val="20"/>
              </w:rPr>
            </w:pPr>
            <w:r>
              <w:rPr>
                <w:rFonts w:ascii="arial" w:hAnsi="arial"/>
                <w:sz w:val="20"/>
              </w:rPr>
              <w:t xml:space="preserve">Management’s performance and succession planning for key executives; </w:t>
            </w:r>
          </w:p>
        </w:tc>
      </w:tr>
    </w:tbl>
    <w:tbl>
      <w:tblPr>
        <w:tblW w:w="4990" w:type="dxa"/>
        <w:jc w:val="left"/>
        <w:tblInd w:w="0" w:type="dxa"/>
        <w:tblLayout w:type="fixed"/>
        <w:tblCellMar>
          <w:top w:w="0" w:type="dxa"/>
          <w:left w:w="0" w:type="dxa"/>
          <w:bottom w:w="0" w:type="dxa"/>
          <w:right w:w="0" w:type="dxa"/>
        </w:tblCellMar>
      </w:tblPr>
      <w:tblGrid>
        <w:gridCol w:w="75"/>
        <w:gridCol w:w="200"/>
        <w:gridCol w:w="60"/>
        <w:gridCol w:w="46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jc w:val="left"/>
              <w:rPr>
                <w:rFonts w:ascii="arial" w:hAnsi="arial"/>
                <w:sz w:val="20"/>
              </w:rPr>
            </w:pPr>
            <w:r>
              <w:rPr>
                <w:rFonts w:ascii="arial" w:hAnsi="arial"/>
                <w:sz w:val="20"/>
              </w:rPr>
              <w:t xml:space="preserve">Executive and non-employee director compensation;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Governance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830" w:type="dxa"/>
        <w:jc w:val="left"/>
        <w:tblInd w:w="0" w:type="dxa"/>
        <w:tblLayout w:type="fixed"/>
        <w:tblCellMar>
          <w:top w:w="0" w:type="dxa"/>
          <w:left w:w="0" w:type="dxa"/>
          <w:bottom w:w="0" w:type="dxa"/>
          <w:right w:w="0" w:type="dxa"/>
        </w:tblCellMar>
      </w:tblPr>
      <w:tblGrid>
        <w:gridCol w:w="75"/>
        <w:gridCol w:w="200"/>
        <w:gridCol w:w="60"/>
        <w:gridCol w:w="84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arial" w:hAnsi="arial"/>
                <w:sz w:val="20"/>
              </w:rPr>
            </w:pPr>
            <w:r>
              <w:rPr>
                <w:rFonts w:ascii="arial" w:hAnsi="arial"/>
                <w:sz w:val="20"/>
              </w:rPr>
              <w:t xml:space="preserve">Human capital management, including employee development, retention, safety and welfare; and </w:t>
            </w:r>
          </w:p>
        </w:tc>
      </w:tr>
    </w:tbl>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Corporate governance and sustainability matters, including our Environmental, Social and Governance (“ESG”) programs and initiatives discussed below in “</w:t>
            </w:r>
            <w:r>
              <w:rPr>
                <w:rFonts w:ascii="arial" w:hAnsi="arial"/>
                <w:i/>
                <w:sz w:val="20"/>
              </w:rPr>
              <w:t>Corporate Responsibility”</w:t>
            </w:r>
            <w:r>
              <w:rPr>
                <w:rFonts w:ascii="arial" w:hAnsi="arial"/>
                <w:sz w:val="20"/>
              </w:rPr>
              <w:t xml:space="preserve">. </w:t>
            </w:r>
          </w:p>
        </w:tc>
      </w:tr>
    </w:tbl>
    <w:p>
      <w:pPr>
        <w:pStyle w:val="TextBody"/>
        <w:bidi w:val="0"/>
        <w:spacing w:before="240" w:after="0"/>
        <w:jc w:val="left"/>
        <w:rPr>
          <w:rFonts w:ascii="arial" w:hAnsi="arial"/>
          <w:sz w:val="20"/>
        </w:rPr>
      </w:pPr>
      <w:r>
        <w:rPr>
          <w:rFonts w:ascii="arial" w:hAnsi="arial"/>
          <w:sz w:val="20"/>
        </w:rPr>
        <w:t xml:space="preserve">The Board and management regularly confer on emerging industry and macroeconomic trends, the Company’s long-term strategic plans, key strategic initiatives and significant risks relating to our business. Elements of our strategy are discussed at every regular Board meeting, as well as Board committee meetings. The Board also annually discusses and approves our budget and capital allocation plans, which are linked to our strategic plans and priorities. </w:t>
      </w:r>
    </w:p>
    <w:p>
      <w:pPr>
        <w:pStyle w:val="TextBody"/>
        <w:bidi w:val="0"/>
        <w:spacing w:before="240" w:after="0"/>
        <w:jc w:val="left"/>
        <w:rPr>
          <w:rFonts w:ascii="arial" w:hAnsi="arial"/>
          <w:b/>
          <w:color w:val="1F295C"/>
          <w:sz w:val="24"/>
        </w:rPr>
      </w:pPr>
      <w:bookmarkStart w:id="25" w:name="toc849638_26"/>
      <w:bookmarkEnd w:id="25"/>
      <w:r>
        <w:rPr>
          <w:rFonts w:ascii="arial" w:hAnsi="arial"/>
          <w:b/>
          <w:color w:val="1F295C"/>
          <w:sz w:val="24"/>
        </w:rPr>
        <w:t xml:space="preserve">Board Leadership Structure </w:t>
      </w:r>
    </w:p>
    <w:p>
      <w:pPr>
        <w:pStyle w:val="TextBody"/>
        <w:bidi w:val="0"/>
        <w:spacing w:before="240" w:after="0"/>
        <w:jc w:val="left"/>
        <w:rPr>
          <w:rFonts w:ascii="arial" w:hAnsi="arial"/>
          <w:sz w:val="20"/>
        </w:rPr>
      </w:pPr>
      <w:r>
        <w:rPr>
          <w:rFonts w:ascii="arial" w:hAnsi="arial"/>
          <w:sz w:val="20"/>
        </w:rPr>
        <w:t xml:space="preserve">Mr. Edwards serves as our President, Chief Executive Officer (“CEO”) and Chairman. The Board has concluded that the Company and its stockholders are best served by not having a formal policy regarding whether the same individual should serve as both Chairman and Chief Executive Officer. This approach allows the Board flexibility to exercise its business judgment in determining the optimal leadership structure depending on the Company’s particular needs and in light of prevailing circumstances. We have historically combined the positions of Chairman and Chief Executive Officer. </w:t>
      </w:r>
    </w:p>
    <w:p>
      <w:pPr>
        <w:pStyle w:val="TextBody"/>
        <w:bidi w:val="0"/>
        <w:spacing w:before="240" w:after="0"/>
        <w:jc w:val="left"/>
        <w:rPr>
          <w:rFonts w:ascii="arial" w:hAnsi="arial"/>
          <w:sz w:val="20"/>
        </w:rPr>
      </w:pPr>
      <w:r>
        <w:rPr>
          <w:rFonts w:ascii="arial" w:hAnsi="arial"/>
          <w:sz w:val="20"/>
        </w:rPr>
        <w:t xml:space="preserve">The NCG Committee annually assesses the Company’s corporate governance practices, which includes a review of our Board leadership structure and whether combining or separating the roles of Chairman and CEO is in the best interests of our stockholders. The NCG Committee currently is of the view that it is in our stockholders’ best interests for Mr. Edwards to serve in a combined role. The Board believes that having Mr. Edwards serve as CEO and Chairman fosters an important unity of leadership between the Board and management that is subject to effective oversight by the Presiding Independent Director and other independent Board members. The Board believes that it benefits from the unique knowledge, insight and perspective that Mr. Edwards has gained during his more than 30 years in the industry, and that Mr. Edwards’ in-depth knowledge of the Company and his extensive industry expertise makes him particularly qualified to lead Board discussions. The Board has also considered that Mr. Edwards has demonstrated exceptional leadership and vision necessary to lead the Board and the Company in challenging industry and economic environments, has demonstrated a commitment to advancing a culture of corporate responsibility and employee well-being, and, the Board believes, is viewed by our customers, stockholders, suppliers and business partners as a leader in our industry. </w:t>
      </w:r>
    </w:p>
    <w:p>
      <w:pPr>
        <w:pStyle w:val="TextBody"/>
        <w:bidi w:val="0"/>
        <w:spacing w:before="240" w:after="0"/>
        <w:jc w:val="left"/>
        <w:rPr>
          <w:rFonts w:ascii="arial" w:hAnsi="arial"/>
          <w:sz w:val="20"/>
        </w:rPr>
      </w:pPr>
      <w:r>
        <w:rPr>
          <w:rFonts w:ascii="arial" w:hAnsi="arial"/>
          <w:sz w:val="20"/>
        </w:rPr>
        <w:t xml:space="preserve">Based on the demonstrated success of our structure, both in terms of the functioning of the Board and the growth and performance of the Company, as well as the continued benefit of retaining Mr. Edwards’ strategic perspective in the position of Chairman, the Board believes that having a combined position is the appropriate leadership structure for the Company at this time, and allows the Board to conduct its business in the most effective manner. </w:t>
      </w:r>
    </w:p>
    <w:p>
      <w:pPr>
        <w:pStyle w:val="TextBody"/>
        <w:bidi w:val="0"/>
        <w:spacing w:before="240" w:after="0"/>
        <w:jc w:val="left"/>
        <w:rPr>
          <w:rFonts w:ascii="arial" w:hAnsi="arial"/>
          <w:sz w:val="20"/>
        </w:rPr>
      </w:pPr>
      <w:r>
        <w:rPr>
          <w:rFonts w:ascii="arial" w:hAnsi="arial"/>
          <w:sz w:val="20"/>
        </w:rPr>
        <w:t xml:space="preserve">To support our leadership structure, the Board has established a Presiding Independent Director position to ensure independent oversight of management and flow of information and interactions among the Board, management and other Company personnel. Our Presiding Independent Director is elected annually by the independent directors. Ms. Carter, a director since 2014, currently serves as our Presiding Independent Director. Ms. Carter works with management to determine information to be provided to the Board, provides input on agenda items for Board and committee meetings, chairs regular executive sessions of the independent directors and serves as a liaison between management and the Board, as well as among independent directors. She regularly attends the meetings of all Board committees. The Board further exercises independent oversight through executive sessions of the independent directors after every regular Board meeting without the presence of management. </w:t>
      </w:r>
    </w:p>
    <w:p>
      <w:pPr>
        <w:pStyle w:val="TextBody"/>
        <w:bidi w:val="0"/>
        <w:spacing w:before="240" w:after="0"/>
        <w:jc w:val="left"/>
        <w:rPr>
          <w:rFonts w:ascii="arial" w:hAnsi="arial"/>
          <w:sz w:val="20"/>
        </w:rPr>
      </w:pPr>
      <w:r>
        <w:rPr>
          <w:rFonts w:ascii="arial" w:hAnsi="arial"/>
          <w:sz w:val="20"/>
        </w:rPr>
        <w:t xml:space="preserve">The Board believes that having a combined Chief Executive Officer and Chairman position, together with a Presiding Independent Director and a Board comprised of 78% independent directors supported by strong corporate governance practices, provides the best leadership structure for our Company at the present time. The Board recognizes that no leadership model is appropriate for all companies at all times and will continue to evaluate our leadership structure to choose the appropriate structure that it believes is in the best interest of our stockholders. </w:t>
      </w:r>
    </w:p>
    <w:p>
      <w:pPr>
        <w:pStyle w:val="TextBody"/>
        <w:bidi w:val="0"/>
        <w:spacing w:before="240" w:after="0"/>
        <w:jc w:val="left"/>
        <w:rPr>
          <w:rFonts w:ascii="arial" w:hAnsi="arial"/>
          <w:b/>
          <w:color w:val="1F295C"/>
          <w:sz w:val="24"/>
        </w:rPr>
      </w:pPr>
      <w:bookmarkStart w:id="26" w:name="toc849638_27"/>
      <w:bookmarkEnd w:id="26"/>
      <w:r>
        <w:rPr>
          <w:rFonts w:ascii="arial" w:hAnsi="arial"/>
          <w:b/>
          <w:color w:val="1F295C"/>
          <w:sz w:val="24"/>
        </w:rPr>
        <w:t xml:space="preserve">Corporate Governance Guidelines </w:t>
      </w:r>
    </w:p>
    <w:p>
      <w:pPr>
        <w:pStyle w:val="TextBody"/>
        <w:bidi w:val="0"/>
        <w:spacing w:before="240" w:after="0"/>
        <w:jc w:val="left"/>
        <w:rPr>
          <w:rFonts w:ascii="arial" w:hAnsi="arial"/>
          <w:sz w:val="20"/>
        </w:rPr>
      </w:pPr>
      <w:r>
        <w:rPr>
          <w:rFonts w:ascii="arial" w:hAnsi="arial"/>
          <w:sz w:val="20"/>
        </w:rPr>
        <w:t xml:space="preserve">Our Corporate Governance Guidelines govern the structure of our Board and the conduct of our directors. The Corporate Governance Guidelines cover topics such as the role and responsibility of the Board, Board composition and structure (including size, independence, qualifications, conflicts of interest and leadership structure), conduct of board meetings, board committees, expectation of directors, ethical conduct, board evaluations and limitations on outside directorships. </w:t>
      </w:r>
    </w:p>
    <w:p>
      <w:pPr>
        <w:pStyle w:val="TextBody"/>
        <w:bidi w:val="0"/>
        <w:spacing w:before="240" w:after="0"/>
        <w:jc w:val="left"/>
        <w:rPr>
          <w:rFonts w:ascii="arial" w:hAnsi="arial"/>
          <w:sz w:val="20"/>
        </w:rPr>
      </w:pPr>
      <w:r>
        <w:rPr>
          <w:rFonts w:ascii="arial" w:hAnsi="arial"/>
          <w:sz w:val="20"/>
        </w:rPr>
        <w:t xml:space="preserve">We regularly review and update our Corporate Governance Guidelines in response to changing regulatory requirements and best practices. The experience of our directors on other public company boards provides valuable insight into emerging corporate governance practices.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Governance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27" w:name="toc849638_28"/>
      <w:bookmarkEnd w:id="27"/>
      <w:r>
        <w:rPr>
          <w:rFonts w:ascii="arial" w:hAnsi="arial"/>
          <w:b/>
          <w:color w:val="1F295C"/>
          <w:sz w:val="24"/>
        </w:rPr>
        <w:t xml:space="preserve">Succession Planning </w:t>
      </w:r>
    </w:p>
    <w:p>
      <w:pPr>
        <w:pStyle w:val="TextBody"/>
        <w:bidi w:val="0"/>
        <w:spacing w:before="240" w:after="0"/>
        <w:jc w:val="left"/>
        <w:rPr>
          <w:rFonts w:ascii="arial" w:hAnsi="arial"/>
          <w:sz w:val="20"/>
        </w:rPr>
      </w:pPr>
      <w:r>
        <w:rPr>
          <w:rFonts w:ascii="arial" w:hAnsi="arial"/>
          <w:sz w:val="20"/>
        </w:rPr>
        <w:t xml:space="preserve">The retention and development of highly qualified leadership talent is critical to our continued success. The Board and the NCG Committee oversee CEO and senior management succession planning and leadership development at least annually. During its annual review, the Board and our Chief Executive Officer and Chief Financial Officer discuss recommendations of potential successors for our CEO and other senior management positions and the development of potential leadership talent within the Company. The Board reviews management succession planning for both long-term ordinary course scenarios as well as short-term contingency planning scenarios in the event of an emergency or other unanticipated event. Planning includes development of talent within the organization as well as planning to hire from outside the organization if circumstances warrant. </w:t>
      </w:r>
    </w:p>
    <w:p>
      <w:pPr>
        <w:pStyle w:val="TextBody"/>
        <w:bidi w:val="0"/>
        <w:spacing w:before="240" w:after="0"/>
        <w:jc w:val="left"/>
        <w:rPr>
          <w:rFonts w:ascii="arial" w:hAnsi="arial"/>
          <w:b/>
          <w:color w:val="1F295C"/>
          <w:sz w:val="24"/>
        </w:rPr>
      </w:pPr>
      <w:bookmarkStart w:id="28" w:name="toc849638_29"/>
      <w:bookmarkEnd w:id="28"/>
      <w:r>
        <w:rPr>
          <w:rFonts w:ascii="arial" w:hAnsi="arial"/>
          <w:b/>
          <w:color w:val="1F295C"/>
          <w:sz w:val="24"/>
        </w:rPr>
        <w:t xml:space="preserve">Role of the Board in Risk Oversight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12" w:space="0" w:color="1F295C"/>
              <w:left w:val="single" w:sz="12" w:space="0" w:color="1F295C"/>
              <w:right w:val="single" w:sz="12" w:space="0" w:color="1F295C"/>
            </w:tcBorders>
            <w:shd w:fill="1F295C"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12" w:space="0" w:color="1F295C"/>
              <w:right w:val="single" w:sz="12" w:space="0" w:color="1F295C"/>
            </w:tcBorders>
            <w:shd w:fill="1F295C" w:val="clear"/>
            <w:tcMar>
              <w:left w:w="160" w:type="dxa"/>
              <w:right w:w="40" w:type="dxa"/>
            </w:tcMar>
            <w:vAlign w:val="center"/>
          </w:tcPr>
          <w:p>
            <w:pPr>
              <w:pStyle w:val="TableContents"/>
              <w:bidi w:val="0"/>
              <w:spacing w:before="0" w:after="20"/>
              <w:jc w:val="center"/>
              <w:rPr>
                <w:rFonts w:ascii="arial" w:hAnsi="arial"/>
                <w:b/>
                <w:color w:val="FFFFFF"/>
                <w:sz w:val="24"/>
              </w:rPr>
            </w:pPr>
            <w:r>
              <w:rPr>
                <w:rFonts w:ascii="arial" w:hAnsi="arial"/>
                <w:b/>
                <w:color w:val="FFFFFF"/>
                <w:sz w:val="24"/>
              </w:rPr>
              <w:t>Board of Directors</w:t>
            </w:r>
          </w:p>
        </w:tc>
      </w:tr>
      <w:tr>
        <w:trPr/>
        <w:tc>
          <w:tcPr>
            <w:tcW w:w="10205" w:type="dxa"/>
            <w:tcBorders>
              <w:left w:val="single" w:sz="12" w:space="0" w:color="1F295C"/>
              <w:right w:val="single" w:sz="12" w:space="0" w:color="1F295C"/>
            </w:tcBorders>
            <w:shd w:fill="DCE8F3" w:val="clear"/>
            <w:tcMar>
              <w:left w:w="160" w:type="dxa"/>
              <w:right w:w="28" w:type="dxa"/>
            </w:tcMar>
            <w:vAlign w:val="center"/>
          </w:tcPr>
          <w:p>
            <w:pPr>
              <w:pStyle w:val="TableContents"/>
              <w:bidi w:val="0"/>
              <w:spacing w:before="0" w:after="283"/>
              <w:jc w:val="left"/>
              <w:rPr/>
            </w:pPr>
            <w:r>
              <w:rPr/>
              <w:t> </w:t>
            </w:r>
          </w:p>
        </w:tc>
      </w:tr>
      <w:tr>
        <w:trPr/>
        <w:tc>
          <w:tcPr>
            <w:tcW w:w="10205" w:type="dxa"/>
            <w:tcBorders>
              <w:left w:val="single" w:sz="12" w:space="0" w:color="1F295C"/>
              <w:bottom w:val="single" w:sz="12" w:space="0" w:color="1F295C"/>
              <w:right w:val="single" w:sz="12" w:space="0" w:color="1F295C"/>
            </w:tcBorders>
            <w:shd w:fill="DCE8F3" w:val="clear"/>
            <w:tcMar>
              <w:left w:w="160" w:type="dxa"/>
              <w:bottom w:w="28" w:type="dxa"/>
              <w:right w:w="40" w:type="dxa"/>
            </w:tcMar>
            <w:vAlign w:val="center"/>
          </w:tcPr>
          <w:p>
            <w:pPr>
              <w:pStyle w:val="TableContents"/>
              <w:bidi w:val="0"/>
              <w:spacing w:before="0" w:after="0"/>
              <w:jc w:val="left"/>
              <w:rPr/>
            </w:pPr>
            <w:r>
              <w:rPr>
                <w:color w:val="2E75B4"/>
              </w:rPr>
              <w:t>•</w:t>
            </w:r>
            <w:r>
              <w:rPr/>
              <w:t>  </w:t>
            </w:r>
            <w:r>
              <w:rPr>
                <w:rFonts w:ascii="arial" w:hAnsi="arial"/>
                <w:sz w:val="20"/>
              </w:rPr>
              <w:t>The Board is responsible for oversight of the identification, assessment, prioritization and monitoring of enterprise risks and the development of a framework of comprehensive policies and procedures to manage material risks</w:t>
            </w:r>
          </w:p>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The Board fulfills its responsibility both directly and through its standing committees</w:t>
            </w:r>
          </w:p>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The Board ensures that actions are being taken to promote a strong culture of compliance and risk-adjusted decision making in our overall business strategy and day-to-day business operations</w:t>
            </w:r>
          </w:p>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The Board is responsible for leadership succession planning for our most senior executives, including the Chief Executive Officer, and reviews short-term and long-term succession plans on an annual basis</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3"/>
        <w:gridCol w:w="60"/>
        <w:gridCol w:w="163"/>
        <w:gridCol w:w="60"/>
        <w:gridCol w:w="3104"/>
        <w:gridCol w:w="60"/>
        <w:gridCol w:w="163"/>
        <w:gridCol w:w="60"/>
        <w:gridCol w:w="3512"/>
      </w:tblGrid>
      <w:tr>
        <w:trPr/>
        <w:tc>
          <w:tcPr>
            <w:tcW w:w="3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jc w:val="left"/>
              <w:rPr>
                <w:sz w:val="4"/>
                <w:szCs w:val="4"/>
              </w:rPr>
            </w:pPr>
            <w:r>
              <w:rPr>
                <w:sz w:val="4"/>
                <w:szCs w:val="4"/>
              </w:rPr>
            </w:r>
          </w:p>
        </w:tc>
      </w:tr>
      <w:tr>
        <w:trPr/>
        <w:tc>
          <w:tcPr>
            <w:tcW w:w="3023" w:type="dxa"/>
            <w:tcBorders>
              <w:top w:val="single" w:sz="12" w:space="0" w:color="1F295C"/>
              <w:left w:val="single" w:sz="12" w:space="0" w:color="1F295C"/>
              <w:right w:val="single" w:sz="12" w:space="0" w:color="1F295C"/>
            </w:tcBorders>
            <w:shd w:fill="2F5496" w:val="clear"/>
            <w:tcMar>
              <w:top w:w="28" w:type="dxa"/>
              <w:left w:w="160" w:type="dxa"/>
              <w:right w:w="28" w:type="dxa"/>
            </w:tcMar>
            <w:vAlign w:val="center"/>
          </w:tcPr>
          <w:p>
            <w:pPr>
              <w:pStyle w:val="TableContents"/>
              <w:bidi w:val="0"/>
              <w:spacing w:before="0" w:after="283"/>
              <w:jc w:val="left"/>
              <w:rPr/>
            </w:pPr>
            <w:r>
              <w:rPr/>
              <w:t> </w:t>
            </w:r>
          </w:p>
        </w:tc>
        <w:tc>
          <w:tcPr>
            <w:tcW w:w="223"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top w:val="single" w:sz="12" w:space="0" w:color="1F295C"/>
              <w:left w:val="single" w:sz="12" w:space="0" w:color="1F295C"/>
              <w:right w:val="single" w:sz="12" w:space="0" w:color="1F295C"/>
            </w:tcBorders>
            <w:shd w:fill="2F5496" w:val="clear"/>
            <w:tcMar>
              <w:top w:w="28" w:type="dxa"/>
              <w:left w:w="28" w:type="dxa"/>
              <w:right w:w="28" w:type="dxa"/>
            </w:tcMar>
            <w:vAlign w:val="center"/>
          </w:tcPr>
          <w:p>
            <w:pPr>
              <w:pStyle w:val="TableContents"/>
              <w:bidi w:val="0"/>
              <w:spacing w:before="0" w:after="283"/>
              <w:jc w:val="left"/>
              <w:rPr/>
            </w:pPr>
            <w:r>
              <w:rPr/>
              <w:t> </w:t>
            </w:r>
          </w:p>
        </w:tc>
        <w:tc>
          <w:tcPr>
            <w:tcW w:w="223" w:type="dxa"/>
            <w:gridSpan w:val="2"/>
            <w:tcBorders/>
            <w:vAlign w:val="center"/>
          </w:tcPr>
          <w:p>
            <w:pPr>
              <w:pStyle w:val="TableContents"/>
              <w:bidi w:val="0"/>
              <w:spacing w:before="0" w:after="283"/>
              <w:jc w:val="left"/>
              <w:rPr>
                <w:sz w:val="4"/>
                <w:szCs w:val="4"/>
              </w:rPr>
            </w:pPr>
            <w:r>
              <w:rPr>
                <w:sz w:val="4"/>
                <w:szCs w:val="4"/>
              </w:rPr>
            </w:r>
          </w:p>
        </w:tc>
        <w:tc>
          <w:tcPr>
            <w:tcW w:w="3572" w:type="dxa"/>
            <w:gridSpan w:val="2"/>
            <w:tcBorders>
              <w:top w:val="single" w:sz="12" w:space="0" w:color="1F295C"/>
              <w:left w:val="single" w:sz="12" w:space="0" w:color="1F295C"/>
              <w:right w:val="single" w:sz="12" w:space="0" w:color="1F295C"/>
            </w:tcBorders>
            <w:shd w:fill="2F5496" w:val="clear"/>
            <w:tcMar>
              <w:top w:w="28" w:type="dxa"/>
              <w:left w:w="28" w:type="dxa"/>
              <w:right w:w="28" w:type="dxa"/>
            </w:tcMar>
            <w:vAlign w:val="center"/>
          </w:tcPr>
          <w:p>
            <w:pPr>
              <w:pStyle w:val="TableContents"/>
              <w:bidi w:val="0"/>
              <w:spacing w:before="0" w:after="283"/>
              <w:jc w:val="left"/>
              <w:rPr/>
            </w:pPr>
            <w:r>
              <w:rPr/>
              <w:t> </w:t>
            </w:r>
          </w:p>
        </w:tc>
      </w:tr>
      <w:tr>
        <w:trPr/>
        <w:tc>
          <w:tcPr>
            <w:tcW w:w="3023" w:type="dxa"/>
            <w:tcBorders>
              <w:left w:val="single" w:sz="12" w:space="0" w:color="1F295C"/>
              <w:bottom w:val="single" w:sz="12" w:space="0" w:color="1F295C"/>
              <w:right w:val="single" w:sz="12" w:space="0" w:color="1F295C"/>
            </w:tcBorders>
            <w:shd w:fill="2F5496" w:val="clear"/>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4"/>
              </w:rPr>
            </w:pPr>
            <w:r>
              <w:rPr>
                <w:rFonts w:ascii="arial" w:hAnsi="arial"/>
                <w:b/>
                <w:color w:val="FFFFFF"/>
                <w:sz w:val="24"/>
              </w:rPr>
              <w:t>Audit Committee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center"/>
              <w:rPr/>
            </w:pPr>
            <w:r>
              <w:rPr/>
              <w:t>   </w:t>
            </w:r>
          </w:p>
        </w:tc>
        <w:tc>
          <w:tcPr>
            <w:tcW w:w="60" w:type="dxa"/>
            <w:tcBorders>
              <w:left w:val="single" w:sz="12" w:space="0" w:color="1F295C"/>
              <w:bottom w:val="single" w:sz="12" w:space="0" w:color="1F295C"/>
            </w:tcBorders>
            <w:shd w:fill="2F5496" w:val="clear"/>
            <w:tcMar>
              <w:left w:w="28" w:type="dxa"/>
              <w:bottom w:w="28" w:type="dxa"/>
            </w:tcMar>
            <w:vAlign w:val="center"/>
          </w:tcPr>
          <w:p>
            <w:pPr>
              <w:pStyle w:val="TableContents"/>
              <w:bidi w:val="0"/>
              <w:spacing w:before="0" w:after="283"/>
              <w:jc w:val="left"/>
              <w:rPr/>
            </w:pPr>
            <w:r>
              <w:rPr/>
              <w:t> </w:t>
            </w:r>
          </w:p>
        </w:tc>
        <w:tc>
          <w:tcPr>
            <w:tcW w:w="3104" w:type="dxa"/>
            <w:tcBorders>
              <w:bottom w:val="single" w:sz="12" w:space="0" w:color="1F295C"/>
              <w:right w:val="single" w:sz="12" w:space="0" w:color="1F295C"/>
            </w:tcBorders>
            <w:shd w:fill="2F5496"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4"/>
              </w:rPr>
            </w:pPr>
            <w:r>
              <w:rPr>
                <w:rFonts w:ascii="arial" w:hAnsi="arial"/>
                <w:b/>
                <w:color w:val="FFFFFF"/>
                <w:sz w:val="24"/>
              </w:rPr>
              <w:t>CHC Committee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center"/>
              <w:rPr/>
            </w:pPr>
            <w:r>
              <w:rPr/>
              <w:t>   </w:t>
            </w:r>
          </w:p>
        </w:tc>
        <w:tc>
          <w:tcPr>
            <w:tcW w:w="60" w:type="dxa"/>
            <w:tcBorders>
              <w:left w:val="single" w:sz="12" w:space="0" w:color="1F295C"/>
              <w:bottom w:val="single" w:sz="12" w:space="0" w:color="1F295C"/>
            </w:tcBorders>
            <w:shd w:fill="2F5496" w:val="clear"/>
            <w:tcMar>
              <w:left w:w="28" w:type="dxa"/>
              <w:bottom w:w="28" w:type="dxa"/>
            </w:tcMar>
            <w:vAlign w:val="center"/>
          </w:tcPr>
          <w:p>
            <w:pPr>
              <w:pStyle w:val="TableContents"/>
              <w:bidi w:val="0"/>
              <w:spacing w:before="0" w:after="283"/>
              <w:jc w:val="left"/>
              <w:rPr/>
            </w:pPr>
            <w:r>
              <w:rPr/>
              <w:t> </w:t>
            </w:r>
          </w:p>
        </w:tc>
        <w:tc>
          <w:tcPr>
            <w:tcW w:w="3512" w:type="dxa"/>
            <w:tcBorders>
              <w:bottom w:val="single" w:sz="12" w:space="0" w:color="1F295C"/>
              <w:right w:val="single" w:sz="12" w:space="0" w:color="1F295C"/>
            </w:tcBorders>
            <w:shd w:fill="2F5496" w:val="clear"/>
            <w:tcMar>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4"/>
              </w:rPr>
            </w:pPr>
            <w:r>
              <w:rPr>
                <w:rFonts w:ascii="arial" w:hAnsi="arial"/>
                <w:b/>
                <w:color w:val="FFFFFF"/>
                <w:sz w:val="24"/>
              </w:rPr>
              <w:t>NCG Committee</w:t>
            </w:r>
          </w:p>
          <w:p>
            <w:pPr>
              <w:pStyle w:val="TableContents"/>
              <w:bidi w:val="0"/>
              <w:spacing w:before="0" w:after="20"/>
              <w:jc w:val="left"/>
              <w:rPr/>
            </w:pPr>
            <w:r>
              <w:rPr/>
              <w:t> </w:t>
            </w:r>
          </w:p>
        </w:tc>
      </w:tr>
      <w:tr>
        <w:trPr/>
        <w:tc>
          <w:tcPr>
            <w:tcW w:w="3023" w:type="dxa"/>
            <w:tcBorders>
              <w:top w:val="single" w:sz="12" w:space="0" w:color="1F295C"/>
              <w:left w:val="single" w:sz="12" w:space="0" w:color="1F295C"/>
              <w:right w:val="single" w:sz="12" w:space="0" w:color="1F295C"/>
            </w:tcBorders>
            <w:shd w:fill="DCE8F3" w:val="clear"/>
            <w:tcMar>
              <w:top w:w="28" w:type="dxa"/>
              <w:left w:w="160" w:type="dxa"/>
              <w:right w:w="28" w:type="dxa"/>
            </w:tcMar>
            <w:vAlign w:val="center"/>
          </w:tcPr>
          <w:p>
            <w:pPr>
              <w:pStyle w:val="TableContents"/>
              <w:bidi w:val="0"/>
              <w:spacing w:before="0" w:after="283"/>
              <w:jc w:val="left"/>
              <w:rPr/>
            </w:pPr>
            <w:r>
              <w:rPr/>
              <w:t> </w:t>
            </w:r>
          </w:p>
        </w:tc>
        <w:tc>
          <w:tcPr>
            <w:tcW w:w="223"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top w:val="single" w:sz="12" w:space="0" w:color="1F295C"/>
              <w:left w:val="single" w:sz="12" w:space="0" w:color="1F295C"/>
              <w:right w:val="single" w:sz="12" w:space="0" w:color="1F295C"/>
            </w:tcBorders>
            <w:shd w:fill="DCE8F3" w:val="clear"/>
            <w:tcMar>
              <w:top w:w="28" w:type="dxa"/>
              <w:left w:w="28" w:type="dxa"/>
              <w:right w:w="28" w:type="dxa"/>
            </w:tcMar>
            <w:vAlign w:val="center"/>
          </w:tcPr>
          <w:p>
            <w:pPr>
              <w:pStyle w:val="TableContents"/>
              <w:bidi w:val="0"/>
              <w:spacing w:before="0" w:after="283"/>
              <w:jc w:val="left"/>
              <w:rPr/>
            </w:pPr>
            <w:r>
              <w:rPr/>
              <w:t> </w:t>
            </w:r>
          </w:p>
        </w:tc>
        <w:tc>
          <w:tcPr>
            <w:tcW w:w="223" w:type="dxa"/>
            <w:gridSpan w:val="2"/>
            <w:tcBorders/>
            <w:vAlign w:val="center"/>
          </w:tcPr>
          <w:p>
            <w:pPr>
              <w:pStyle w:val="TableContents"/>
              <w:bidi w:val="0"/>
              <w:spacing w:before="0" w:after="283"/>
              <w:jc w:val="left"/>
              <w:rPr>
                <w:sz w:val="4"/>
                <w:szCs w:val="4"/>
              </w:rPr>
            </w:pPr>
            <w:r>
              <w:rPr>
                <w:sz w:val="4"/>
                <w:szCs w:val="4"/>
              </w:rPr>
            </w:r>
          </w:p>
        </w:tc>
        <w:tc>
          <w:tcPr>
            <w:tcW w:w="3572" w:type="dxa"/>
            <w:gridSpan w:val="2"/>
            <w:tcBorders>
              <w:top w:val="single" w:sz="12" w:space="0" w:color="1F295C"/>
              <w:left w:val="single" w:sz="12" w:space="0" w:color="1F295C"/>
              <w:right w:val="single" w:sz="12" w:space="0" w:color="1F295C"/>
            </w:tcBorders>
            <w:shd w:fill="DCE8F3" w:val="clear"/>
            <w:tcMar>
              <w:top w:w="28" w:type="dxa"/>
              <w:left w:w="28" w:type="dxa"/>
              <w:right w:w="28" w:type="dxa"/>
            </w:tcMar>
            <w:vAlign w:val="center"/>
          </w:tcPr>
          <w:p>
            <w:pPr>
              <w:pStyle w:val="TableContents"/>
              <w:bidi w:val="0"/>
              <w:spacing w:before="0" w:after="283"/>
              <w:jc w:val="left"/>
              <w:rPr/>
            </w:pPr>
            <w:r>
              <w:rPr/>
              <w:t> </w:t>
            </w:r>
          </w:p>
        </w:tc>
      </w:tr>
      <w:tr>
        <w:trPr/>
        <w:tc>
          <w:tcPr>
            <w:tcW w:w="3023" w:type="dxa"/>
            <w:tcBorders>
              <w:left w:val="single" w:sz="12" w:space="0" w:color="1F295C"/>
              <w:bottom w:val="single" w:sz="12" w:space="0" w:color="1F295C"/>
              <w:right w:val="single" w:sz="12" w:space="0" w:color="1F295C"/>
            </w:tcBorders>
            <w:shd w:fill="DCE8F3" w:val="clear"/>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Oversees the quality and integrity of our financial statements</w:t>
            </w:r>
          </w:p>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Oversees our accounting, financial reporting and internal controls processes</w:t>
            </w:r>
          </w:p>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Oversees the Company’s enterprise risk, financial risk and cybersecurity risk exposures</w:t>
            </w:r>
          </w:p>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Oversees whistleblower procedures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1F295C"/>
              <w:bottom w:val="single" w:sz="12" w:space="0" w:color="1F295C"/>
            </w:tcBorders>
            <w:shd w:fill="DCE8F3" w:val="clear"/>
            <w:tcMar>
              <w:left w:w="28" w:type="dxa"/>
              <w:bottom w:w="28" w:type="dxa"/>
            </w:tcMar>
            <w:vAlign w:val="center"/>
          </w:tcPr>
          <w:p>
            <w:pPr>
              <w:pStyle w:val="TableContents"/>
              <w:bidi w:val="0"/>
              <w:spacing w:before="0" w:after="283"/>
              <w:jc w:val="left"/>
              <w:rPr/>
            </w:pPr>
            <w:r>
              <w:rPr/>
              <w:t> </w:t>
            </w:r>
          </w:p>
        </w:tc>
        <w:tc>
          <w:tcPr>
            <w:tcW w:w="3104" w:type="dxa"/>
            <w:tcBorders>
              <w:bottom w:val="single" w:sz="12" w:space="0" w:color="1F295C"/>
              <w:right w:val="single" w:sz="12" w:space="0" w:color="1F295C"/>
            </w:tcBorders>
            <w:shd w:fill="DCE8F3"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Oversees our human capital management practices</w:t>
            </w:r>
          </w:p>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Oversees the design and administration of our compensation programs</w:t>
            </w:r>
          </w:p>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Oversees our clawback policies</w:t>
            </w:r>
          </w:p>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Oversees potential risks associated with our compensation programs, policies and practices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1F295C"/>
              <w:bottom w:val="single" w:sz="12" w:space="0" w:color="1F295C"/>
            </w:tcBorders>
            <w:shd w:fill="DCE8F3" w:val="clear"/>
            <w:tcMar>
              <w:left w:w="28" w:type="dxa"/>
              <w:bottom w:w="28" w:type="dxa"/>
            </w:tcMar>
            <w:vAlign w:val="center"/>
          </w:tcPr>
          <w:p>
            <w:pPr>
              <w:pStyle w:val="TableContents"/>
              <w:bidi w:val="0"/>
              <w:spacing w:before="0" w:after="283"/>
              <w:jc w:val="left"/>
              <w:rPr/>
            </w:pPr>
            <w:r>
              <w:rPr/>
              <w:t> </w:t>
            </w:r>
          </w:p>
        </w:tc>
        <w:tc>
          <w:tcPr>
            <w:tcW w:w="3512" w:type="dxa"/>
            <w:tcBorders>
              <w:bottom w:val="single" w:sz="12" w:space="0" w:color="1F295C"/>
              <w:right w:val="single" w:sz="12" w:space="0" w:color="1F295C"/>
            </w:tcBorders>
            <w:shd w:fill="DCE8F3" w:val="clear"/>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Oversees our corporate governance practices and Board structure and functioning, including associated risks</w:t>
            </w:r>
          </w:p>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Oversees succession planning for our executive team</w:t>
            </w:r>
          </w:p>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Oversees our environmental and sustainability practices and risks</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12" w:space="0" w:color="1F295C"/>
              <w:left w:val="single" w:sz="12" w:space="0" w:color="1F295C"/>
              <w:right w:val="single" w:sz="12" w:space="0" w:color="1F295C"/>
            </w:tcBorders>
            <w:shd w:fill="2E75B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12" w:space="0" w:color="1F295C"/>
              <w:bottom w:val="single" w:sz="12" w:space="0" w:color="1F295C"/>
              <w:right w:val="single" w:sz="12" w:space="0" w:color="1F295C"/>
            </w:tcBorders>
            <w:shd w:fill="2E75B4" w:val="clear"/>
            <w:tcMar>
              <w:left w:w="160" w:type="dxa"/>
              <w:bottom w:w="120"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4"/>
              </w:rPr>
            </w:pPr>
            <w:r>
              <w:rPr>
                <w:rFonts w:ascii="arial" w:hAnsi="arial"/>
                <w:b/>
                <w:color w:val="FFFFFF"/>
                <w:sz w:val="24"/>
              </w:rPr>
              <w:t>Management</w:t>
            </w:r>
          </w:p>
        </w:tc>
      </w:tr>
      <w:tr>
        <w:trPr/>
        <w:tc>
          <w:tcPr>
            <w:tcW w:w="10205" w:type="dxa"/>
            <w:tcBorders>
              <w:left w:val="single" w:sz="12" w:space="0" w:color="1F295C"/>
              <w:right w:val="single" w:sz="12" w:space="0" w:color="1F295C"/>
            </w:tcBorders>
            <w:shd w:fill="DCE8F3" w:val="clear"/>
            <w:tcMar>
              <w:left w:w="160" w:type="dxa"/>
              <w:right w:w="28" w:type="dxa"/>
            </w:tcMar>
            <w:vAlign w:val="center"/>
          </w:tcPr>
          <w:p>
            <w:pPr>
              <w:pStyle w:val="TableContents"/>
              <w:bidi w:val="0"/>
              <w:spacing w:before="0" w:after="283"/>
              <w:jc w:val="left"/>
              <w:rPr/>
            </w:pPr>
            <w:r>
              <w:rPr/>
              <w:t> </w:t>
            </w:r>
          </w:p>
        </w:tc>
      </w:tr>
      <w:tr>
        <w:trPr/>
        <w:tc>
          <w:tcPr>
            <w:tcW w:w="10205" w:type="dxa"/>
            <w:tcBorders>
              <w:left w:val="single" w:sz="12" w:space="0" w:color="1F295C"/>
              <w:bottom w:val="single" w:sz="12" w:space="0" w:color="1F295C"/>
              <w:right w:val="single" w:sz="12" w:space="0" w:color="1F295C"/>
            </w:tcBorders>
            <w:shd w:fill="DCE8F3" w:val="clear"/>
            <w:tcMar>
              <w:left w:w="160" w:type="dxa"/>
              <w:bottom w:w="28" w:type="dxa"/>
              <w:right w:w="40" w:type="dxa"/>
            </w:tcMar>
            <w:vAlign w:val="center"/>
          </w:tcPr>
          <w:p>
            <w:pPr>
              <w:pStyle w:val="TableContents"/>
              <w:bidi w:val="0"/>
              <w:spacing w:before="0" w:after="0"/>
              <w:jc w:val="left"/>
              <w:rPr/>
            </w:pPr>
            <w:r>
              <w:rPr>
                <w:color w:val="2E75B4"/>
              </w:rPr>
              <w:t>•</w:t>
            </w:r>
            <w:r>
              <w:rPr/>
              <w:t> </w:t>
            </w:r>
            <w:r>
              <w:rPr>
                <w:rFonts w:ascii="arial" w:hAnsi="arial"/>
                <w:sz w:val="20"/>
              </w:rPr>
              <w:t>Responsible for identifying material risks facing the Company, evaluating and prioritizing those risks, and developing plans, processes and controls to monitor, manage and mitigate the risks</w:t>
            </w:r>
          </w:p>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Regularly assesses all enterprise risks and mitigation plans, processes and controls, including through regular meetings of the Sarbanes Oxley steering committee, information security committee and enterprise risk committee</w:t>
            </w:r>
          </w:p>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Develops robust risk assessment practices, including auditing procedures, internal controls over financial reporting, whistleblower program and other compliance policies and programs</w:t>
            </w:r>
          </w:p>
          <w:p>
            <w:pPr>
              <w:pStyle w:val="TableContents"/>
              <w:bidi w:val="0"/>
              <w:spacing w:before="0" w:after="0"/>
              <w:jc w:val="left"/>
              <w:rPr/>
            </w:pPr>
            <w:r>
              <w:rPr/>
              <w:t> </w:t>
            </w:r>
          </w:p>
          <w:p>
            <w:pPr>
              <w:pStyle w:val="TableContents"/>
              <w:bidi w:val="0"/>
              <w:spacing w:before="0" w:after="0"/>
              <w:jc w:val="left"/>
              <w:rPr/>
            </w:pPr>
            <w:r>
              <w:rPr>
                <w:color w:val="2E75B4"/>
              </w:rPr>
              <w:t>•</w:t>
            </w:r>
            <w:r>
              <w:rPr/>
              <w:t> </w:t>
            </w:r>
            <w:r>
              <w:rPr>
                <w:rFonts w:ascii="arial" w:hAnsi="arial"/>
                <w:sz w:val="20"/>
              </w:rPr>
              <w:t>Reviews enterprise risks with the Board and its committees and advises the Board concerning major risk exposure and the steps taken to monitor, mitigate or eliminate material risks</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Governance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29" w:name="toc849638_30"/>
      <w:bookmarkEnd w:id="29"/>
      <w:r>
        <w:rPr>
          <w:rFonts w:ascii="arial" w:hAnsi="arial"/>
          <w:b/>
          <w:color w:val="1F295C"/>
          <w:sz w:val="24"/>
        </w:rPr>
        <w:t xml:space="preserve">Cybersecurity Oversight </w:t>
      </w:r>
    </w:p>
    <w:p>
      <w:pPr>
        <w:pStyle w:val="TextBody"/>
        <w:bidi w:val="0"/>
        <w:spacing w:before="240" w:after="0"/>
        <w:jc w:val="left"/>
        <w:rPr>
          <w:rFonts w:ascii="arial" w:hAnsi="arial"/>
          <w:sz w:val="20"/>
        </w:rPr>
      </w:pPr>
      <w:r>
        <w:rPr>
          <w:rFonts w:ascii="arial" w:hAnsi="arial"/>
          <w:sz w:val="20"/>
        </w:rPr>
        <w:t xml:space="preserve">The Board considers cybersecurity risk to be a critical part of its risk oversight function and has delegated to the Audit Committee direct oversight of cybersecurity and information technology risks, including oversight of our cybersecurity risk management and business continuity programs. The Audit Committee reports to the Board at each regular meeting on matters within its oversight. We maintain a comprehensive cybersecurity program designed to (i) protect against threats to the security, confidentiality, integrity and availability of our information and information technology systems, (ii) protect against unauthorized access or use of our systems that could result in substantial harm to us, our employees or our customers, and (iii) identify, detect, contain, respond and recover from cybersecurity incidents. </w:t>
      </w:r>
    </w:p>
    <w:p>
      <w:pPr>
        <w:pStyle w:val="TextBody"/>
        <w:bidi w:val="0"/>
        <w:spacing w:before="240" w:after="0"/>
        <w:jc w:val="left"/>
        <w:rPr>
          <w:rFonts w:ascii="arial" w:hAnsi="arial"/>
          <w:sz w:val="20"/>
        </w:rPr>
      </w:pPr>
      <w:r>
        <w:rPr>
          <w:rFonts w:ascii="arial" w:hAnsi="arial"/>
          <w:sz w:val="20"/>
        </w:rPr>
        <w:t xml:space="preserve">Our Vice President of Internal Audit and our Chief Information Officer report to the Audit Committee at each quarterly meeting. Quarterly presentations include the rapidly evolving cybersecurity threat landscape, management’s efforts to monitor, detect and prevent cybersecurity threats, reports of cybersecurity incidents including those with little or no impact, our cybersecurity incident response protocols, and the effectiveness of our cybersecurity program. If a cybersecurity incident is deemed to have the potential for material impact on the Company, our Incident Response, Reporting and Management Policy has procedures for escalation to the Audit Committee outside of regularly scheduled meetings and to the full Board, if and as appropriate. </w:t>
      </w:r>
    </w:p>
    <w:p>
      <w:pPr>
        <w:pStyle w:val="TextBody"/>
        <w:bidi w:val="0"/>
        <w:spacing w:before="240" w:after="0"/>
        <w:jc w:val="left"/>
        <w:rPr>
          <w:rFonts w:ascii="arial" w:hAnsi="arial"/>
          <w:sz w:val="20"/>
        </w:rPr>
      </w:pPr>
      <w:r>
        <w:rPr>
          <w:rFonts w:ascii="arial" w:hAnsi="arial"/>
          <w:sz w:val="20"/>
        </w:rPr>
        <w:t xml:space="preserve">Our cybersecurity risk management program includes: </w:t>
      </w:r>
    </w:p>
    <w:p>
      <w:pPr>
        <w:pStyle w:val="TextBody"/>
        <w:bidi w:val="0"/>
        <w:spacing w:before="0" w:after="0"/>
        <w:jc w:val="left"/>
        <w:rPr/>
      </w:pPr>
      <w:r>
        <w:rPr/>
        <w:t> </w:t>
      </w:r>
    </w:p>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200"/>
        <w:gridCol w:w="60"/>
        <w:gridCol w:w="93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arial" w:hAnsi="arial"/>
                <w:sz w:val="20"/>
              </w:rPr>
            </w:pPr>
            <w:r>
              <w:rPr>
                <w:rFonts w:ascii="arial" w:hAnsi="arial"/>
                <w:sz w:val="20"/>
              </w:rPr>
              <w:t xml:space="preserve">Risk assessments designed to identify material cybersecurity risks to our information technology systems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A security team responsible for managing our cybersecurity processes, procedures, controls and incident response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200"/>
        <w:gridCol w:w="60"/>
        <w:gridCol w:w="93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arial" w:hAnsi="arial"/>
                <w:sz w:val="20"/>
              </w:rPr>
            </w:pPr>
            <w:r>
              <w:rPr>
                <w:rFonts w:ascii="arial" w:hAnsi="arial"/>
                <w:sz w:val="20"/>
              </w:rPr>
              <w:t xml:space="preserve">The use of external service providers where appropriate to assess, test or assist with our security controls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75"/>
        <w:gridCol w:w="200"/>
        <w:gridCol w:w="60"/>
        <w:gridCol w:w="64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left"/>
              <w:rPr>
                <w:rFonts w:ascii="arial" w:hAnsi="arial"/>
                <w:sz w:val="20"/>
              </w:rPr>
            </w:pPr>
            <w:r>
              <w:rPr>
                <w:rFonts w:ascii="arial" w:hAnsi="arial"/>
                <w:sz w:val="20"/>
              </w:rPr>
              <w:t xml:space="preserve">Security tools for protection against and monitoring for suspicious activity </w:t>
            </w:r>
          </w:p>
        </w:tc>
      </w:tr>
    </w:tbl>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200"/>
        <w:gridCol w:w="60"/>
        <w:gridCol w:w="42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arial" w:hAnsi="arial"/>
                <w:sz w:val="20"/>
              </w:rPr>
            </w:pPr>
            <w:r>
              <w:rPr>
                <w:rFonts w:ascii="arial" w:hAnsi="arial"/>
                <w:sz w:val="20"/>
              </w:rPr>
              <w:t xml:space="preserve">Cybersecurity awareness training for employees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200"/>
        <w:gridCol w:w="60"/>
        <w:gridCol w:w="5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arial" w:hAnsi="arial"/>
                <w:sz w:val="20"/>
              </w:rPr>
            </w:pPr>
            <w:r>
              <w:rPr>
                <w:rFonts w:ascii="arial" w:hAnsi="arial"/>
                <w:sz w:val="20"/>
              </w:rPr>
              <w:t xml:space="preserve">An incident response plan for responding to cybersecurity incidents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200"/>
        <w:gridCol w:w="60"/>
        <w:gridCol w:w="74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arial" w:hAnsi="arial"/>
                <w:sz w:val="20"/>
              </w:rPr>
            </w:pPr>
            <w:r>
              <w:rPr>
                <w:rFonts w:ascii="arial" w:hAnsi="arial"/>
                <w:sz w:val="20"/>
              </w:rPr>
              <w:t xml:space="preserve">Third-party risk management procedures for service providers, suppliers and vendors </w:t>
            </w:r>
          </w:p>
        </w:tc>
      </w:tr>
    </w:tbl>
    <w:p>
      <w:pPr>
        <w:pStyle w:val="TextBody"/>
        <w:bidi w:val="0"/>
        <w:spacing w:before="240" w:after="0"/>
        <w:jc w:val="left"/>
        <w:rPr>
          <w:rFonts w:ascii="arial" w:hAnsi="arial"/>
          <w:sz w:val="20"/>
        </w:rPr>
      </w:pPr>
      <w:r>
        <w:rPr>
          <w:rFonts w:ascii="arial" w:hAnsi="arial"/>
          <w:sz w:val="20"/>
        </w:rPr>
        <w:t xml:space="preserve">For more detailed information on our cybersecurity program, please refer to our Annual Report on Form 10-K for the year ended December 31, 2024. </w:t>
      </w:r>
    </w:p>
    <w:p>
      <w:pPr>
        <w:pStyle w:val="TextBody"/>
        <w:bidi w:val="0"/>
        <w:spacing w:before="240" w:after="0"/>
        <w:jc w:val="left"/>
        <w:rPr>
          <w:rFonts w:ascii="arial" w:hAnsi="arial"/>
          <w:sz w:val="20"/>
        </w:rPr>
      </w:pPr>
      <w:r>
        <w:rPr>
          <w:rFonts w:ascii="arial" w:hAnsi="arial"/>
          <w:sz w:val="20"/>
        </w:rPr>
        <w:t xml:space="preserve">Mr. Hilsheimer, chair of our Audit Committee, has earned a CERT Certificate in Cybersecurity Oversight from the National Association of Corporate Directors, which aids the Audit Committee’s understanding of the cybersecurity threat landscape and assists the Audit Committee in overseeing an effective cybersecurity risk management program.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Governance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30" w:name="toc849638_31"/>
      <w:bookmarkEnd w:id="30"/>
      <w:r>
        <w:rPr>
          <w:rFonts w:ascii="arial" w:hAnsi="arial"/>
          <w:b/>
          <w:color w:val="1F295C"/>
          <w:sz w:val="24"/>
        </w:rPr>
        <w:t xml:space="preserve">Corporate Responsibility Oversight </w:t>
      </w:r>
    </w:p>
    <w:p>
      <w:pPr>
        <w:pStyle w:val="TextBody"/>
        <w:bidi w:val="0"/>
        <w:spacing w:before="240" w:after="0"/>
        <w:jc w:val="left"/>
        <w:rPr>
          <w:rFonts w:ascii="arial" w:hAnsi="arial"/>
          <w:sz w:val="20"/>
        </w:rPr>
      </w:pPr>
      <w:r>
        <w:rPr>
          <w:rFonts w:ascii="arial" w:hAnsi="arial"/>
          <w:sz w:val="20"/>
        </w:rPr>
        <w:t>Company ESG programs and initiatives are overseen both broadly by the Board and on a more granular level by Board committees. Pursuant to its charter, the NCG Committee is responsible for the oversight of our ESG programs, except to the extent reserved to the full Board or another committee. As described in more detail in “</w:t>
      </w:r>
      <w:r>
        <w:rPr>
          <w:rFonts w:ascii="arial" w:hAnsi="arial"/>
          <w:i/>
          <w:sz w:val="20"/>
        </w:rPr>
        <w:t>Board Committee Oversight</w:t>
      </w:r>
      <w:r>
        <w:rPr>
          <w:rFonts w:ascii="arial" w:hAnsi="arial"/>
          <w:sz w:val="20"/>
        </w:rPr>
        <w:t>” below, each Board committee receives quarterly reports on the areas within its oversight function and reports on each of these areas to the Board at each quarterly Board meeting. The Board also directly receives periodic sustainability, cybersecurity, and Installed Building Products Foundation reports from Company team leaders at its regular meetings. See also “</w:t>
      </w:r>
      <w:r>
        <w:rPr>
          <w:rFonts w:ascii="arial" w:hAnsi="arial"/>
          <w:i/>
          <w:sz w:val="20"/>
        </w:rPr>
        <w:t>Corporate Responsibility</w:t>
      </w:r>
      <w:r>
        <w:rPr>
          <w:rFonts w:ascii="arial" w:hAnsi="arial"/>
          <w:sz w:val="20"/>
        </w:rPr>
        <w:t xml:space="preserv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36"/>
        <w:gridCol w:w="60"/>
        <w:gridCol w:w="8209"/>
      </w:tblGrid>
      <w:tr>
        <w:trPr/>
        <w:tc>
          <w:tcPr>
            <w:tcW w:w="19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09"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002060" w:val="clear"/>
            <w:vAlign w:val="center"/>
          </w:tcPr>
          <w:p>
            <w:pPr>
              <w:pStyle w:val="TableContents"/>
              <w:bidi w:val="0"/>
              <w:spacing w:before="0" w:after="283"/>
              <w:jc w:val="left"/>
              <w:rPr>
                <w:sz w:val="4"/>
                <w:szCs w:val="4"/>
              </w:rPr>
            </w:pPr>
            <w:r>
              <w:rPr>
                <w:sz w:val="4"/>
                <w:szCs w:val="4"/>
              </w:rPr>
            </w:r>
          </w:p>
        </w:tc>
        <w:tc>
          <w:tcPr>
            <w:tcW w:w="8269" w:type="dxa"/>
            <w:gridSpan w:val="2"/>
            <w:tcBorders/>
            <w:shd w:fill="D5DCE4" w:val="clear"/>
            <w:vAlign w:val="center"/>
          </w:tcPr>
          <w:p>
            <w:pPr>
              <w:pStyle w:val="TableContents"/>
              <w:bidi w:val="0"/>
              <w:spacing w:before="0" w:after="283"/>
              <w:jc w:val="left"/>
              <w:rPr>
                <w:sz w:val="4"/>
                <w:szCs w:val="4"/>
              </w:rPr>
            </w:pPr>
            <w:r>
              <w:rPr>
                <w:sz w:val="4"/>
                <w:szCs w:val="4"/>
              </w:rPr>
            </w:r>
          </w:p>
        </w:tc>
      </w:tr>
      <w:tr>
        <w:trPr/>
        <w:tc>
          <w:tcPr>
            <w:tcW w:w="1936" w:type="dxa"/>
            <w:tcBorders>
              <w:bottom w:val="single" w:sz="6" w:space="0" w:color="000000"/>
            </w:tcBorders>
            <w:shd w:fill="002060" w:val="clear"/>
            <w:tcMar>
              <w:bottom w:w="28" w:type="dxa"/>
            </w:tcMar>
            <w:vAlign w:val="center"/>
          </w:tcPr>
          <w:p>
            <w:pPr>
              <w:pStyle w:val="TableContents"/>
              <w:bidi w:val="0"/>
              <w:spacing w:before="0" w:after="0"/>
              <w:jc w:val="center"/>
              <w:rPr>
                <w:rFonts w:ascii="arial" w:hAnsi="arial"/>
                <w:b/>
                <w:color w:val="FFFFFF"/>
                <w:sz w:val="20"/>
              </w:rPr>
            </w:pPr>
            <w:r>
              <w:rPr>
                <w:rFonts w:ascii="arial" w:hAnsi="arial"/>
                <w:b/>
                <w:color w:val="FFFFFF"/>
                <w:sz w:val="20"/>
              </w:rPr>
              <w:t>Full Board</w:t>
            </w:r>
          </w:p>
          <w:p>
            <w:pPr>
              <w:pStyle w:val="TableContents"/>
              <w:bidi w:val="0"/>
              <w:spacing w:before="0" w:after="20"/>
              <w:jc w:val="left"/>
              <w:rPr/>
            </w:pPr>
            <w:r>
              <w:rPr/>
              <w:t> </w:t>
            </w:r>
          </w:p>
        </w:tc>
        <w:tc>
          <w:tcPr>
            <w:tcW w:w="60" w:type="dxa"/>
            <w:tcBorders>
              <w:bottom w:val="single" w:sz="6" w:space="0" w:color="000000"/>
            </w:tcBorders>
            <w:shd w:fill="D5DCE4" w:val="clear"/>
            <w:tcMar>
              <w:bottom w:w="28" w:type="dxa"/>
            </w:tcMar>
            <w:vAlign w:val="center"/>
          </w:tcPr>
          <w:p>
            <w:pPr>
              <w:pStyle w:val="TableContents"/>
              <w:bidi w:val="0"/>
              <w:spacing w:before="0" w:after="283"/>
              <w:jc w:val="left"/>
              <w:rPr/>
            </w:pPr>
            <w:r>
              <w:rPr/>
              <w:t> </w:t>
            </w:r>
          </w:p>
        </w:tc>
        <w:tc>
          <w:tcPr>
            <w:tcW w:w="8209" w:type="dxa"/>
            <w:tcBorders>
              <w:bottom w:val="single" w:sz="6" w:space="0" w:color="000000"/>
            </w:tcBorders>
            <w:shd w:fill="D5DCE4" w:val="clear"/>
            <w:tcMar>
              <w:bottom w:w="28" w:type="dxa"/>
            </w:tcMar>
            <w:vAlign w:val="center"/>
          </w:tcPr>
          <w:p>
            <w:pPr>
              <w:pStyle w:val="TableContents"/>
              <w:bidi w:val="0"/>
              <w:spacing w:before="0" w:after="0"/>
              <w:jc w:val="left"/>
              <w:rPr/>
            </w:pPr>
            <w:r>
              <w:rPr>
                <w:color w:val="1F295C"/>
              </w:rPr>
              <w:t>◾</w:t>
            </w:r>
            <w:r>
              <w:rPr/>
              <w:t>  </w:t>
            </w:r>
            <w:r>
              <w:rPr>
                <w:rFonts w:ascii="arial" w:hAnsi="arial"/>
                <w:sz w:val="20"/>
              </w:rPr>
              <w:t>ESG strategy and risks, through oversight of enterprise risk management</w:t>
            </w:r>
          </w:p>
        </w:tc>
      </w:tr>
      <w:tr>
        <w:trPr/>
        <w:tc>
          <w:tcPr>
            <w:tcW w:w="1936" w:type="dxa"/>
            <w:tcBorders>
              <w:left w:val="single" w:sz="6" w:space="0" w:color="000000"/>
            </w:tcBorders>
            <w:shd w:fill="DCE8F3" w:val="clear"/>
            <w:tcMar>
              <w:left w:w="160" w:type="dxa"/>
            </w:tcMar>
            <w:vAlign w:val="center"/>
          </w:tcPr>
          <w:p>
            <w:pPr>
              <w:pStyle w:val="TableContents"/>
              <w:bidi w:val="0"/>
              <w:spacing w:before="0" w:after="283"/>
              <w:jc w:val="left"/>
              <w:rPr/>
            </w:pPr>
            <w:r>
              <w:rPr/>
              <w:t> </w:t>
            </w:r>
          </w:p>
        </w:tc>
        <w:tc>
          <w:tcPr>
            <w:tcW w:w="8269" w:type="dxa"/>
            <w:gridSpan w:val="2"/>
            <w:tcBorders>
              <w:left w:val="single" w:sz="6" w:space="0" w:color="000000"/>
              <w:right w:val="single" w:sz="6" w:space="0" w:color="000000"/>
            </w:tcBorders>
            <w:shd w:fill="D5DCE4" w:val="clear"/>
            <w:tcMar>
              <w:left w:w="28" w:type="dxa"/>
              <w:right w:w="28" w:type="dxa"/>
            </w:tcMar>
            <w:vAlign w:val="center"/>
          </w:tcPr>
          <w:p>
            <w:pPr>
              <w:pStyle w:val="TableContents"/>
              <w:bidi w:val="0"/>
              <w:spacing w:before="0" w:after="283"/>
              <w:jc w:val="left"/>
              <w:rPr/>
            </w:pPr>
            <w:r>
              <w:rPr/>
              <w:t> </w:t>
            </w:r>
          </w:p>
        </w:tc>
      </w:tr>
      <w:tr>
        <w:trPr/>
        <w:tc>
          <w:tcPr>
            <w:tcW w:w="1936" w:type="dxa"/>
            <w:tcBorders>
              <w:left w:val="single" w:sz="6" w:space="0" w:color="000000"/>
              <w:bottom w:val="single" w:sz="6" w:space="0" w:color="000000"/>
            </w:tcBorders>
            <w:shd w:fill="DCE8F3" w:val="clear"/>
            <w:tcMar>
              <w:left w:w="160" w:type="dxa"/>
              <w:bottom w:w="28" w:type="dxa"/>
            </w:tcMar>
            <w:vAlign w:val="center"/>
          </w:tcPr>
          <w:p>
            <w:pPr>
              <w:pStyle w:val="TableContents"/>
              <w:bidi w:val="0"/>
              <w:spacing w:before="0" w:after="283"/>
              <w:jc w:val="center"/>
              <w:rPr>
                <w:b/>
                <w:color w:val="1F295C"/>
              </w:rPr>
            </w:pPr>
            <w:r>
              <w:rPr>
                <w:b/>
                <w:color w:val="1F295C"/>
              </w:rPr>
              <w:t>Audit Committee</w:t>
            </w:r>
          </w:p>
        </w:tc>
        <w:tc>
          <w:tcPr>
            <w:tcW w:w="60" w:type="dxa"/>
            <w:tcBorders>
              <w:left w:val="single" w:sz="6" w:space="0" w:color="000000"/>
              <w:bottom w:val="single" w:sz="6" w:space="0" w:color="000000"/>
            </w:tcBorders>
            <w:shd w:fill="D5DCE4" w:val="clear"/>
            <w:tcMar>
              <w:left w:w="28" w:type="dxa"/>
              <w:bottom w:w="28" w:type="dxa"/>
            </w:tcMar>
            <w:vAlign w:val="center"/>
          </w:tcPr>
          <w:p>
            <w:pPr>
              <w:pStyle w:val="TableContents"/>
              <w:bidi w:val="0"/>
              <w:spacing w:before="0" w:after="283"/>
              <w:jc w:val="left"/>
              <w:rPr/>
            </w:pPr>
            <w:r>
              <w:rPr/>
              <w:t> </w:t>
            </w:r>
          </w:p>
        </w:tc>
        <w:tc>
          <w:tcPr>
            <w:tcW w:w="8209" w:type="dxa"/>
            <w:tcBorders>
              <w:bottom w:val="single" w:sz="6" w:space="0" w:color="000000"/>
              <w:right w:val="single" w:sz="6" w:space="0" w:color="000000"/>
            </w:tcBorders>
            <w:shd w:fill="D5DCE4" w:val="clear"/>
            <w:tcMar>
              <w:bottom w:w="28" w:type="dxa"/>
              <w:right w:w="40" w:type="dxa"/>
            </w:tcMar>
            <w:vAlign w:val="center"/>
          </w:tcPr>
          <w:p>
            <w:pPr>
              <w:pStyle w:val="TableContents"/>
              <w:bidi w:val="0"/>
              <w:spacing w:before="0" w:after="0"/>
              <w:jc w:val="left"/>
              <w:rPr/>
            </w:pPr>
            <w:r>
              <w:rPr>
                <w:color w:val="1F295C"/>
              </w:rPr>
              <w:t>◾</w:t>
            </w:r>
            <w:r>
              <w:rPr/>
              <w:t>  </w:t>
            </w:r>
            <w:r>
              <w:rPr>
                <w:rFonts w:ascii="arial" w:hAnsi="arial"/>
                <w:sz w:val="20"/>
              </w:rPr>
              <w:t>Ethics and compliance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Whistleblower policy</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Data privacy and cybersecurity</w:t>
            </w:r>
          </w:p>
          <w:p>
            <w:pPr>
              <w:pStyle w:val="TableContents"/>
              <w:bidi w:val="0"/>
              <w:spacing w:before="0" w:after="20"/>
              <w:jc w:val="left"/>
              <w:rPr/>
            </w:pPr>
            <w:r>
              <w:rPr/>
              <w:t> </w:t>
            </w:r>
          </w:p>
        </w:tc>
      </w:tr>
      <w:tr>
        <w:trPr/>
        <w:tc>
          <w:tcPr>
            <w:tcW w:w="1936" w:type="dxa"/>
            <w:tcBorders>
              <w:left w:val="single" w:sz="6" w:space="0" w:color="000000"/>
            </w:tcBorders>
            <w:shd w:fill="DCE8F3" w:val="clear"/>
            <w:tcMar>
              <w:left w:w="160" w:type="dxa"/>
            </w:tcMar>
            <w:vAlign w:val="center"/>
          </w:tcPr>
          <w:p>
            <w:pPr>
              <w:pStyle w:val="TableContents"/>
              <w:bidi w:val="0"/>
              <w:spacing w:before="0" w:after="283"/>
              <w:jc w:val="left"/>
              <w:rPr/>
            </w:pPr>
            <w:r>
              <w:rPr/>
              <w:t> </w:t>
            </w:r>
          </w:p>
        </w:tc>
        <w:tc>
          <w:tcPr>
            <w:tcW w:w="8269" w:type="dxa"/>
            <w:gridSpan w:val="2"/>
            <w:tcBorders>
              <w:left w:val="single" w:sz="6" w:space="0" w:color="000000"/>
              <w:right w:val="single" w:sz="6" w:space="0" w:color="000000"/>
            </w:tcBorders>
            <w:shd w:fill="D5DCE4" w:val="clear"/>
            <w:tcMar>
              <w:left w:w="28" w:type="dxa"/>
              <w:right w:w="28" w:type="dxa"/>
            </w:tcMar>
            <w:vAlign w:val="center"/>
          </w:tcPr>
          <w:p>
            <w:pPr>
              <w:pStyle w:val="TableContents"/>
              <w:bidi w:val="0"/>
              <w:spacing w:before="0" w:after="283"/>
              <w:jc w:val="left"/>
              <w:rPr/>
            </w:pPr>
            <w:r>
              <w:rPr/>
              <w:t> </w:t>
            </w:r>
          </w:p>
        </w:tc>
      </w:tr>
      <w:tr>
        <w:trPr/>
        <w:tc>
          <w:tcPr>
            <w:tcW w:w="1936" w:type="dxa"/>
            <w:tcBorders>
              <w:left w:val="single" w:sz="6" w:space="0" w:color="000000"/>
              <w:bottom w:val="single" w:sz="6" w:space="0" w:color="000000"/>
            </w:tcBorders>
            <w:shd w:fill="DCE8F3" w:val="clear"/>
            <w:tcMar>
              <w:left w:w="160" w:type="dxa"/>
              <w:bottom w:w="28" w:type="dxa"/>
            </w:tcMar>
            <w:vAlign w:val="center"/>
          </w:tcPr>
          <w:p>
            <w:pPr>
              <w:pStyle w:val="TableContents"/>
              <w:bidi w:val="0"/>
              <w:spacing w:before="0" w:after="0"/>
              <w:jc w:val="center"/>
              <w:rPr>
                <w:rFonts w:ascii="arial" w:hAnsi="arial"/>
                <w:b/>
                <w:color w:val="1F295C"/>
                <w:sz w:val="20"/>
              </w:rPr>
            </w:pPr>
            <w:r>
              <w:rPr>
                <w:rFonts w:ascii="arial" w:hAnsi="arial"/>
                <w:b/>
                <w:color w:val="1F295C"/>
                <w:sz w:val="20"/>
              </w:rPr>
              <w:t>Compensation and   </w:t>
            </w:r>
          </w:p>
          <w:p>
            <w:pPr>
              <w:pStyle w:val="TableContents"/>
              <w:bidi w:val="0"/>
              <w:spacing w:before="0" w:after="0"/>
              <w:jc w:val="center"/>
              <w:rPr>
                <w:rFonts w:ascii="arial" w:hAnsi="arial"/>
                <w:b/>
                <w:color w:val="1F295C"/>
                <w:sz w:val="20"/>
              </w:rPr>
            </w:pPr>
            <w:r>
              <w:rPr>
                <w:rFonts w:ascii="arial" w:hAnsi="arial"/>
                <w:b/>
                <w:color w:val="1F295C"/>
                <w:sz w:val="20"/>
              </w:rPr>
              <w:t>Human Capital   </w:t>
            </w:r>
          </w:p>
          <w:p>
            <w:pPr>
              <w:pStyle w:val="TableContents"/>
              <w:bidi w:val="0"/>
              <w:spacing w:before="0" w:after="20"/>
              <w:jc w:val="center"/>
              <w:rPr>
                <w:rFonts w:ascii="arial" w:hAnsi="arial"/>
                <w:b/>
                <w:color w:val="1F295C"/>
                <w:sz w:val="20"/>
              </w:rPr>
            </w:pPr>
            <w:r>
              <w:rPr>
                <w:rFonts w:ascii="arial" w:hAnsi="arial"/>
                <w:b/>
                <w:color w:val="1F295C"/>
                <w:sz w:val="20"/>
              </w:rPr>
              <w:t>Committee   </w:t>
            </w:r>
          </w:p>
        </w:tc>
        <w:tc>
          <w:tcPr>
            <w:tcW w:w="60" w:type="dxa"/>
            <w:tcBorders>
              <w:left w:val="single" w:sz="6" w:space="0" w:color="000000"/>
              <w:bottom w:val="single" w:sz="6" w:space="0" w:color="000000"/>
            </w:tcBorders>
            <w:shd w:fill="D5DCE4" w:val="clear"/>
            <w:tcMar>
              <w:left w:w="28" w:type="dxa"/>
              <w:bottom w:w="28" w:type="dxa"/>
            </w:tcMar>
            <w:vAlign w:val="center"/>
          </w:tcPr>
          <w:p>
            <w:pPr>
              <w:pStyle w:val="TableContents"/>
              <w:bidi w:val="0"/>
              <w:spacing w:before="0" w:after="283"/>
              <w:jc w:val="left"/>
              <w:rPr/>
            </w:pPr>
            <w:r>
              <w:rPr/>
              <w:t> </w:t>
            </w:r>
          </w:p>
        </w:tc>
        <w:tc>
          <w:tcPr>
            <w:tcW w:w="8209" w:type="dxa"/>
            <w:tcBorders>
              <w:bottom w:val="single" w:sz="6" w:space="0" w:color="000000"/>
              <w:right w:val="single" w:sz="6" w:space="0" w:color="000000"/>
            </w:tcBorders>
            <w:shd w:fill="D5DCE4" w:val="clear"/>
            <w:tcMar>
              <w:bottom w:w="28" w:type="dxa"/>
              <w:right w:w="40" w:type="dxa"/>
            </w:tcMar>
            <w:vAlign w:val="center"/>
          </w:tcPr>
          <w:p>
            <w:pPr>
              <w:pStyle w:val="TableContents"/>
              <w:bidi w:val="0"/>
              <w:spacing w:before="0" w:after="0"/>
              <w:jc w:val="left"/>
              <w:rPr/>
            </w:pPr>
            <w:r>
              <w:rPr>
                <w:color w:val="1F295C"/>
              </w:rPr>
              <w:t>◾</w:t>
            </w:r>
            <w:r>
              <w:rPr/>
              <w:t>  </w:t>
            </w:r>
            <w:r>
              <w:rPr>
                <w:rFonts w:ascii="arial" w:hAnsi="arial"/>
                <w:sz w:val="20"/>
              </w:rPr>
              <w:t>Human capital management</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Employee recruitment, development and retention</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Employee talent and leadership development</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Workplace inclusion initiatives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Employee culture and engagement</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Employee wellness programs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Foundation and corporate giving</w:t>
            </w:r>
          </w:p>
          <w:p>
            <w:pPr>
              <w:pStyle w:val="TableContents"/>
              <w:bidi w:val="0"/>
              <w:spacing w:before="0" w:after="20"/>
              <w:jc w:val="left"/>
              <w:rPr/>
            </w:pPr>
            <w:r>
              <w:rPr/>
              <w:t> </w:t>
            </w:r>
          </w:p>
        </w:tc>
      </w:tr>
      <w:tr>
        <w:trPr/>
        <w:tc>
          <w:tcPr>
            <w:tcW w:w="1936" w:type="dxa"/>
            <w:tcBorders>
              <w:left w:val="single" w:sz="6" w:space="0" w:color="000000"/>
            </w:tcBorders>
            <w:shd w:fill="DCE8F3" w:val="clear"/>
            <w:tcMar>
              <w:left w:w="160" w:type="dxa"/>
            </w:tcMar>
            <w:vAlign w:val="center"/>
          </w:tcPr>
          <w:p>
            <w:pPr>
              <w:pStyle w:val="TableContents"/>
              <w:bidi w:val="0"/>
              <w:spacing w:before="0" w:after="283"/>
              <w:jc w:val="left"/>
              <w:rPr/>
            </w:pPr>
            <w:r>
              <w:rPr/>
              <w:t> </w:t>
            </w:r>
          </w:p>
        </w:tc>
        <w:tc>
          <w:tcPr>
            <w:tcW w:w="8269" w:type="dxa"/>
            <w:gridSpan w:val="2"/>
            <w:tcBorders>
              <w:left w:val="single" w:sz="6" w:space="0" w:color="000000"/>
              <w:right w:val="single" w:sz="6" w:space="0" w:color="000000"/>
            </w:tcBorders>
            <w:shd w:fill="D5DCE4" w:val="clear"/>
            <w:tcMar>
              <w:left w:w="28" w:type="dxa"/>
              <w:right w:w="28" w:type="dxa"/>
            </w:tcMar>
            <w:vAlign w:val="center"/>
          </w:tcPr>
          <w:p>
            <w:pPr>
              <w:pStyle w:val="TableContents"/>
              <w:bidi w:val="0"/>
              <w:spacing w:before="0" w:after="283"/>
              <w:jc w:val="left"/>
              <w:rPr/>
            </w:pPr>
            <w:r>
              <w:rPr/>
              <w:t> </w:t>
            </w:r>
          </w:p>
        </w:tc>
      </w:tr>
      <w:tr>
        <w:trPr/>
        <w:tc>
          <w:tcPr>
            <w:tcW w:w="1936" w:type="dxa"/>
            <w:tcBorders>
              <w:left w:val="single" w:sz="6" w:space="0" w:color="000000"/>
              <w:bottom w:val="single" w:sz="6" w:space="0" w:color="000000"/>
            </w:tcBorders>
            <w:shd w:fill="DCE8F3" w:val="clear"/>
            <w:tcMar>
              <w:left w:w="160" w:type="dxa"/>
              <w:bottom w:w="28" w:type="dxa"/>
            </w:tcMar>
            <w:vAlign w:val="center"/>
          </w:tcPr>
          <w:p>
            <w:pPr>
              <w:pStyle w:val="TableContents"/>
              <w:bidi w:val="0"/>
              <w:spacing w:before="0" w:after="0"/>
              <w:jc w:val="center"/>
              <w:rPr>
                <w:rFonts w:ascii="arial" w:hAnsi="arial"/>
                <w:b/>
                <w:color w:val="1F295C"/>
                <w:sz w:val="20"/>
              </w:rPr>
            </w:pPr>
            <w:r>
              <w:rPr>
                <w:rFonts w:ascii="arial" w:hAnsi="arial"/>
                <w:b/>
                <w:color w:val="1F295C"/>
                <w:sz w:val="20"/>
              </w:rPr>
              <w:t>Nominating and</w:t>
            </w:r>
          </w:p>
          <w:p>
            <w:pPr>
              <w:pStyle w:val="TableContents"/>
              <w:bidi w:val="0"/>
              <w:spacing w:before="0" w:after="0"/>
              <w:jc w:val="center"/>
              <w:rPr>
                <w:rFonts w:ascii="arial" w:hAnsi="arial"/>
                <w:b/>
                <w:color w:val="1F295C"/>
                <w:sz w:val="20"/>
              </w:rPr>
            </w:pPr>
            <w:r>
              <w:rPr>
                <w:rFonts w:ascii="arial" w:hAnsi="arial"/>
                <w:b/>
                <w:color w:val="1F295C"/>
                <w:sz w:val="20"/>
              </w:rPr>
              <w:t>Corporate</w:t>
            </w:r>
          </w:p>
          <w:p>
            <w:pPr>
              <w:pStyle w:val="TableContents"/>
              <w:bidi w:val="0"/>
              <w:spacing w:before="0" w:after="0"/>
              <w:jc w:val="center"/>
              <w:rPr>
                <w:rFonts w:ascii="arial" w:hAnsi="arial"/>
                <w:b/>
                <w:color w:val="1F295C"/>
                <w:sz w:val="20"/>
              </w:rPr>
            </w:pPr>
            <w:r>
              <w:rPr>
                <w:rFonts w:ascii="arial" w:hAnsi="arial"/>
                <w:b/>
                <w:color w:val="1F295C"/>
                <w:sz w:val="20"/>
              </w:rPr>
              <w:t>Governance</w:t>
            </w:r>
          </w:p>
          <w:p>
            <w:pPr>
              <w:pStyle w:val="TableContents"/>
              <w:bidi w:val="0"/>
              <w:spacing w:before="0" w:after="20"/>
              <w:jc w:val="center"/>
              <w:rPr>
                <w:rFonts w:ascii="arial" w:hAnsi="arial"/>
                <w:b/>
                <w:color w:val="1F295C"/>
                <w:sz w:val="20"/>
              </w:rPr>
            </w:pPr>
            <w:r>
              <w:rPr>
                <w:rFonts w:ascii="arial" w:hAnsi="arial"/>
                <w:b/>
                <w:color w:val="1F295C"/>
                <w:sz w:val="20"/>
              </w:rPr>
              <w:t>Committee</w:t>
            </w:r>
          </w:p>
        </w:tc>
        <w:tc>
          <w:tcPr>
            <w:tcW w:w="60" w:type="dxa"/>
            <w:tcBorders>
              <w:left w:val="single" w:sz="6" w:space="0" w:color="000000"/>
              <w:bottom w:val="single" w:sz="6" w:space="0" w:color="000000"/>
            </w:tcBorders>
            <w:shd w:fill="D5DCE4" w:val="clear"/>
            <w:tcMar>
              <w:left w:w="28" w:type="dxa"/>
              <w:bottom w:w="28" w:type="dxa"/>
            </w:tcMar>
            <w:vAlign w:val="center"/>
          </w:tcPr>
          <w:p>
            <w:pPr>
              <w:pStyle w:val="TableContents"/>
              <w:bidi w:val="0"/>
              <w:spacing w:before="0" w:after="283"/>
              <w:jc w:val="left"/>
              <w:rPr/>
            </w:pPr>
            <w:r>
              <w:rPr/>
              <w:t> </w:t>
            </w:r>
          </w:p>
        </w:tc>
        <w:tc>
          <w:tcPr>
            <w:tcW w:w="8209" w:type="dxa"/>
            <w:tcBorders>
              <w:bottom w:val="single" w:sz="6" w:space="0" w:color="000000"/>
              <w:right w:val="single" w:sz="6" w:space="0" w:color="000000"/>
            </w:tcBorders>
            <w:shd w:fill="D5DCE4" w:val="clear"/>
            <w:tcMar>
              <w:bottom w:w="28" w:type="dxa"/>
              <w:right w:w="40" w:type="dxa"/>
            </w:tcMar>
            <w:vAlign w:val="center"/>
          </w:tcPr>
          <w:p>
            <w:pPr>
              <w:pStyle w:val="TableContents"/>
              <w:bidi w:val="0"/>
              <w:spacing w:before="0" w:after="0"/>
              <w:jc w:val="left"/>
              <w:rPr/>
            </w:pPr>
            <w:r>
              <w:rPr>
                <w:color w:val="1F295C"/>
              </w:rPr>
              <w:t>◾</w:t>
            </w:r>
            <w:r>
              <w:rPr/>
              <w:t>  </w:t>
            </w:r>
            <w:r>
              <w:rPr>
                <w:rFonts w:ascii="arial" w:hAnsi="arial"/>
                <w:sz w:val="20"/>
              </w:rPr>
              <w:t>Governance structures and processes, taking into account legal standards, best practices and investor views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Board organization, independence, structure and effectiveness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Environmental and sustainability practices</w:t>
            </w:r>
          </w:p>
          <w:p>
            <w:pPr>
              <w:pStyle w:val="TableContents"/>
              <w:bidi w:val="0"/>
              <w:spacing w:before="0" w:after="20"/>
              <w:jc w:val="left"/>
              <w:rPr/>
            </w:pPr>
            <w:r>
              <w:rPr/>
              <w:t> </w:t>
            </w:r>
          </w:p>
        </w:tc>
      </w:tr>
    </w:tbl>
    <w:p>
      <w:pPr>
        <w:pStyle w:val="TextBody"/>
        <w:bidi w:val="0"/>
        <w:spacing w:before="240" w:after="0"/>
        <w:jc w:val="left"/>
        <w:rPr>
          <w:rFonts w:ascii="arial" w:hAnsi="arial"/>
          <w:b/>
          <w:color w:val="1F295C"/>
          <w:sz w:val="24"/>
        </w:rPr>
      </w:pPr>
      <w:bookmarkStart w:id="31" w:name="toc849638_32"/>
      <w:bookmarkEnd w:id="31"/>
      <w:r>
        <w:rPr>
          <w:rFonts w:ascii="arial" w:hAnsi="arial"/>
          <w:b/>
          <w:color w:val="1F295C"/>
          <w:sz w:val="24"/>
        </w:rPr>
        <w:t xml:space="preserve">Board Committee Oversight </w:t>
      </w:r>
    </w:p>
    <w:p>
      <w:pPr>
        <w:pStyle w:val="TextBody"/>
        <w:bidi w:val="0"/>
        <w:spacing w:before="240" w:after="0"/>
        <w:jc w:val="left"/>
        <w:rPr>
          <w:rFonts w:ascii="arial" w:hAnsi="arial"/>
          <w:sz w:val="20"/>
        </w:rPr>
      </w:pPr>
      <w:r>
        <w:rPr>
          <w:rFonts w:ascii="arial" w:hAnsi="arial"/>
          <w:sz w:val="20"/>
        </w:rPr>
        <w:t xml:space="preserve">The Board currently has three standing committees: Audit, Compensation and Human Capital, and Nominating and Corporate Governance. Each committee is chaired by an independent director, who determines the agenda, frequency and length of meetings and who has unlimited access to management and Company employees. Each committee operates under a written charter approved by the Board that sets forth its responsibilities, and each committee periodically assesses the adequacy of its charter in light of developing best practices and recommends changes to the Board if necessary. </w:t>
      </w:r>
    </w:p>
    <w:p>
      <w:pPr>
        <w:pStyle w:val="TextBody"/>
        <w:bidi w:val="0"/>
        <w:spacing w:before="240" w:after="0"/>
        <w:jc w:val="left"/>
        <w:rPr>
          <w:rFonts w:ascii="arial" w:hAnsi="arial"/>
          <w:sz w:val="20"/>
        </w:rPr>
      </w:pPr>
      <w:r>
        <w:rPr>
          <w:rFonts w:ascii="arial" w:hAnsi="arial"/>
          <w:sz w:val="20"/>
        </w:rPr>
        <w:t xml:space="preserve">The Board has delegated certain risk management oversight to its committees in their areas of responsibility. The Board is kept informed of each committee’s risk oversight activities through reports to the Board presented at every regular Board meeting. The oversight functions of the Board committees described below do not represent a complete list of all enterprise risks and Company practices that are considered and addressed from time to time by the Board committees.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Governance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474"/>
        <w:gridCol w:w="120"/>
        <w:gridCol w:w="6611"/>
      </w:tblGrid>
      <w:tr>
        <w:trPr/>
        <w:tc>
          <w:tcPr>
            <w:tcW w:w="34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1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1F295C"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b/>
                <w:color w:val="FFFFFF"/>
                <w:sz w:val="24"/>
              </w:rPr>
              <w:t>Audit Committee</w:t>
            </w:r>
          </w:p>
          <w:p>
            <w:pPr>
              <w:pStyle w:val="TableContents"/>
              <w:bidi w:val="0"/>
              <w:spacing w:before="0" w:after="20"/>
              <w:jc w:val="left"/>
              <w:rPr/>
            </w:pPr>
            <w:r>
              <w:rPr/>
              <w:t> </w:t>
            </w:r>
          </w:p>
        </w:tc>
      </w:tr>
      <w:tr>
        <w:trPr/>
        <w:tc>
          <w:tcPr>
            <w:tcW w:w="34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11" w:type="dxa"/>
            <w:tcBorders/>
            <w:vAlign w:val="center"/>
          </w:tcPr>
          <w:p>
            <w:pPr>
              <w:pStyle w:val="TableContents"/>
              <w:bidi w:val="0"/>
              <w:spacing w:before="0" w:after="283"/>
              <w:jc w:val="left"/>
              <w:rPr>
                <w:sz w:val="4"/>
                <w:szCs w:val="4"/>
              </w:rPr>
            </w:pPr>
            <w:r>
              <w:rPr>
                <w:sz w:val="4"/>
                <w:szCs w:val="4"/>
              </w:rPr>
            </w:r>
          </w:p>
        </w:tc>
      </w:tr>
      <w:tr>
        <w:trPr/>
        <w:tc>
          <w:tcPr>
            <w:tcW w:w="3474" w:type="dxa"/>
            <w:vMerge w:val="restart"/>
            <w:tcBorders/>
            <w:vAlign w:val="center"/>
          </w:tcPr>
          <w:p>
            <w:pPr>
              <w:pStyle w:val="TableContents"/>
              <w:bidi w:val="0"/>
              <w:spacing w:before="0" w:after="0"/>
              <w:jc w:val="left"/>
              <w:rPr>
                <w:rFonts w:ascii="arial" w:hAnsi="arial"/>
                <w:b/>
                <w:color w:val="1070B8"/>
                <w:sz w:val="20"/>
              </w:rPr>
            </w:pPr>
            <w:r>
              <w:rPr>
                <w:rFonts w:ascii="arial" w:hAnsi="arial"/>
                <w:b/>
                <w:color w:val="1070B8"/>
                <w:sz w:val="20"/>
              </w:rPr>
              <w:t>Chair:</w:t>
            </w:r>
          </w:p>
          <w:p>
            <w:pPr>
              <w:pStyle w:val="TableContents"/>
              <w:bidi w:val="0"/>
              <w:spacing w:before="0" w:after="0"/>
              <w:jc w:val="left"/>
              <w:rPr>
                <w:rFonts w:ascii="arial" w:hAnsi="arial"/>
                <w:sz w:val="20"/>
              </w:rPr>
            </w:pPr>
            <w:r>
              <w:rPr>
                <w:rFonts w:ascii="arial" w:hAnsi="arial"/>
                <w:sz w:val="20"/>
              </w:rPr>
              <w:t>Lawrence A. Hilsheimer</w:t>
            </w:r>
          </w:p>
          <w:p>
            <w:pPr>
              <w:pStyle w:val="TableContents"/>
              <w:bidi w:val="0"/>
              <w:spacing w:before="0" w:after="0"/>
              <w:jc w:val="left"/>
              <w:rPr/>
            </w:pPr>
            <w:r>
              <w:rPr/>
              <w:t> </w:t>
            </w:r>
          </w:p>
          <w:p>
            <w:pPr>
              <w:pStyle w:val="TableContents"/>
              <w:bidi w:val="0"/>
              <w:spacing w:before="0" w:after="0"/>
              <w:jc w:val="left"/>
              <w:rPr>
                <w:rFonts w:ascii="arial" w:hAnsi="arial"/>
                <w:b/>
                <w:color w:val="1070B8"/>
                <w:sz w:val="20"/>
              </w:rPr>
            </w:pPr>
            <w:r>
              <w:rPr>
                <w:rFonts w:ascii="arial" w:hAnsi="arial"/>
                <w:b/>
                <w:color w:val="1070B8"/>
                <w:sz w:val="20"/>
              </w:rPr>
              <w:t>Other Members:</w:t>
            </w:r>
          </w:p>
          <w:p>
            <w:pPr>
              <w:pStyle w:val="TableContents"/>
              <w:bidi w:val="0"/>
              <w:spacing w:before="0" w:after="0"/>
              <w:jc w:val="left"/>
              <w:rPr>
                <w:rFonts w:ascii="arial" w:hAnsi="arial"/>
                <w:sz w:val="20"/>
              </w:rPr>
            </w:pPr>
            <w:r>
              <w:rPr>
                <w:rFonts w:ascii="arial" w:hAnsi="arial"/>
                <w:sz w:val="20"/>
              </w:rPr>
              <w:t>Margot L. Carter</w:t>
            </w:r>
          </w:p>
          <w:p>
            <w:pPr>
              <w:pStyle w:val="TableContents"/>
              <w:bidi w:val="0"/>
              <w:spacing w:before="0" w:after="0"/>
              <w:jc w:val="left"/>
              <w:rPr>
                <w:rFonts w:ascii="arial" w:hAnsi="arial"/>
                <w:sz w:val="20"/>
              </w:rPr>
            </w:pPr>
            <w:r>
              <w:rPr>
                <w:rFonts w:ascii="arial" w:hAnsi="arial"/>
                <w:sz w:val="20"/>
              </w:rPr>
              <w:t>Michael H. Thomas</w:t>
            </w:r>
          </w:p>
          <w:p>
            <w:pPr>
              <w:pStyle w:val="TableContents"/>
              <w:bidi w:val="0"/>
              <w:spacing w:before="0" w:after="0"/>
              <w:jc w:val="left"/>
              <w:rPr/>
            </w:pPr>
            <w:r>
              <w:rPr/>
              <w:t> </w:t>
            </w:r>
          </w:p>
          <w:p>
            <w:pPr>
              <w:pStyle w:val="TableContents"/>
              <w:bidi w:val="0"/>
              <w:spacing w:before="0" w:after="0"/>
              <w:jc w:val="left"/>
              <w:rPr>
                <w:rFonts w:ascii="arial" w:hAnsi="arial"/>
                <w:b/>
                <w:color w:val="1070B8"/>
                <w:sz w:val="20"/>
              </w:rPr>
            </w:pPr>
            <w:r>
              <w:rPr>
                <w:rFonts w:ascii="arial" w:hAnsi="arial"/>
                <w:b/>
                <w:color w:val="1070B8"/>
                <w:sz w:val="20"/>
              </w:rPr>
              <w:t>Meetings in 2024: 5</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All members are independent under the Securities and Exchange Commission (“SEC”) and New York Stock Exchange (“NYSE”) rules and are “financially literate” under NYSE rules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Hilsheimer is an “audit committee financial expert” under SEC rules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Mr. Hilsheimer has earned a CERT Certificate in Cybersecurity Oversight from the National Association of Corporate Directors</w:t>
            </w:r>
          </w:p>
        </w:tc>
        <w:tc>
          <w:tcPr>
            <w:tcW w:w="120" w:type="dxa"/>
            <w:tcBorders>
              <w:top w:val="single" w:sz="12" w:space="0" w:color="1F295C"/>
              <w:bottom w:val="single" w:sz="12" w:space="0" w:color="1F295C"/>
            </w:tcBorders>
            <w:shd w:fill="DCE8F3" w:val="clear"/>
            <w:tcMar>
              <w:top w:w="28" w:type="dxa"/>
              <w:bottom w:w="28" w:type="dxa"/>
            </w:tcMar>
            <w:vAlign w:val="center"/>
          </w:tcPr>
          <w:p>
            <w:pPr>
              <w:pStyle w:val="TableContents"/>
              <w:bidi w:val="0"/>
              <w:spacing w:before="0" w:after="283"/>
              <w:jc w:val="left"/>
              <w:rPr/>
            </w:pPr>
            <w:r>
              <w:rPr/>
              <w:t>  </w:t>
            </w:r>
          </w:p>
        </w:tc>
        <w:tc>
          <w:tcPr>
            <w:tcW w:w="6611" w:type="dxa"/>
            <w:tcBorders>
              <w:top w:val="single" w:sz="12" w:space="0" w:color="1F295C"/>
              <w:bottom w:val="single" w:sz="12" w:space="0" w:color="1F295C"/>
            </w:tcBorders>
            <w:shd w:fill="DCE8F3"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1070B8"/>
                <w:sz w:val="20"/>
              </w:rPr>
              <w:t>Purpose:</w:t>
            </w:r>
            <w:r>
              <w:rPr>
                <w:rFonts w:ascii="arial" w:hAnsi="arial"/>
                <w:sz w:val="20"/>
              </w:rPr>
              <w:t xml:space="preserve"> The Audit Committee provides independent, objective oversight of the quality and integrity of our financial statements and financial reporting processes and procedures, the performance of our accounting and financial controls, our internal audit function, the annual independent audit of our financial statements and our policies for financial and cybersecurity risk assessment and management.</w:t>
            </w:r>
          </w:p>
          <w:p>
            <w:pPr>
              <w:pStyle w:val="TableContents"/>
              <w:bidi w:val="0"/>
              <w:spacing w:before="0" w:after="20"/>
              <w:jc w:val="left"/>
              <w:rPr/>
            </w:pPr>
            <w:r>
              <w:rPr/>
              <w:t> </w:t>
            </w:r>
          </w:p>
        </w:tc>
      </w:tr>
      <w:tr>
        <w:trPr/>
        <w:tc>
          <w:tcPr>
            <w:tcW w:w="347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611"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070B8"/>
                <w:sz w:val="20"/>
              </w:rPr>
            </w:pPr>
            <w:r>
              <w:rPr>
                <w:rFonts w:ascii="arial" w:hAnsi="arial"/>
                <w:b/>
                <w:color w:val="1070B8"/>
                <w:sz w:val="20"/>
              </w:rPr>
              <w:t>Responsibilities: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Selecting and engaging our independent registered public accounting firm, approving the auditor’s audit and non-audit services and fees, evaluating the auditor’s qualifications, independence and performance and directly overseeing the work of the auditors.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Discussing with the auditors the scope of the annual audit and the audited financial statements and reviewing with the auditor any audit problems and management’s response.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Reviewing the responsibilities, budget and staffing of the Company’s internal audit department and the selection, evaluation, compensation and removal of the director of internal audit.</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Reviewing with the internal audit department the status, results and remedial actions of ongoing audit projects.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Overseeing the Company’s internal controls, including disclosure controls and internal controls over financial reporting (including any material weaknesses, significant deficiencies, significant changes to internal controls and fraud), which includes reporting by internal and external auditors at every regular meeting.</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Overseeing compliance with applicable laws and regulations and the Company’s Code of Business Conduct and Ethics (“Ethics Code”).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Overseeing procedures and policies governing the process by which management assesses and manages the Company’s exposure to risk and overseeing the Company’s major financial risk exposures and the steps management has taken to monitor and control such exposures.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Discussing with general counsel any significant legal, compliance or regulatory matters that may have a material effect on the financial statements, including material notices to or inquiries received from governmental agencies and evidence of breaches of fiduciary duty or other violations of the Company’s Ethics Code.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Overseeing complaints regarding accounting, internal accounting controls and auditing matters.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Overseeing the Company’s ethics, investment, derivatives, whistleblower and related party transaction policies.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Overseeing cybersecurity and information technology risks, controls and procedures, including privacy and network security and risks affecting adequacy of internal controls, which includes reporting on cybersecurity at every meeting.</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40" w:after="0"/>
        <w:jc w:val="center"/>
        <w:rPr>
          <w:rFonts w:ascii="arial" w:hAnsi="arial"/>
          <w:color w:val="1070B8"/>
          <w:sz w:val="20"/>
        </w:rPr>
      </w:pPr>
      <w:r>
        <w:rPr>
          <w:rFonts w:ascii="arial" w:hAnsi="arial"/>
          <w:color w:val="1070B8"/>
          <w:sz w:val="20"/>
        </w:rPr>
        <w:t xml:space="preserve">Corporate Governance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180"/>
        <w:gridCol w:w="120"/>
        <w:gridCol w:w="6905"/>
      </w:tblGrid>
      <w:tr>
        <w:trPr/>
        <w:tc>
          <w:tcPr>
            <w:tcW w:w="3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0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1F295C"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1F295C"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b/>
                <w:color w:val="FFFFFF"/>
                <w:sz w:val="24"/>
              </w:rPr>
              <w:t>Compensation and Human Capital Committee</w:t>
            </w:r>
          </w:p>
          <w:p>
            <w:pPr>
              <w:pStyle w:val="TableContents"/>
              <w:bidi w:val="0"/>
              <w:spacing w:before="0" w:after="20"/>
              <w:jc w:val="left"/>
              <w:rPr/>
            </w:pPr>
            <w:r>
              <w:rPr/>
              <w:t> </w:t>
            </w:r>
          </w:p>
        </w:tc>
      </w:tr>
      <w:tr>
        <w:trPr/>
        <w:tc>
          <w:tcPr>
            <w:tcW w:w="3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283"/>
              <w:jc w:val="left"/>
              <w:rPr>
                <w:sz w:val="4"/>
                <w:szCs w:val="4"/>
              </w:rPr>
            </w:pPr>
            <w:r>
              <w:rPr>
                <w:sz w:val="4"/>
                <w:szCs w:val="4"/>
              </w:rPr>
            </w:r>
          </w:p>
        </w:tc>
      </w:tr>
      <w:tr>
        <w:trPr/>
        <w:tc>
          <w:tcPr>
            <w:tcW w:w="3180" w:type="dxa"/>
            <w:vMerge w:val="restart"/>
            <w:tcBorders/>
            <w:vAlign w:val="center"/>
          </w:tcPr>
          <w:p>
            <w:pPr>
              <w:pStyle w:val="TableContents"/>
              <w:bidi w:val="0"/>
              <w:spacing w:before="0" w:after="0"/>
              <w:jc w:val="left"/>
              <w:rPr>
                <w:rFonts w:ascii="arial" w:hAnsi="arial"/>
                <w:b/>
                <w:color w:val="1070B8"/>
                <w:sz w:val="20"/>
              </w:rPr>
            </w:pPr>
            <w:r>
              <w:rPr>
                <w:rFonts w:ascii="arial" w:hAnsi="arial"/>
                <w:b/>
                <w:color w:val="1070B8"/>
                <w:sz w:val="20"/>
              </w:rPr>
              <w:t>Chair:</w:t>
            </w:r>
          </w:p>
          <w:p>
            <w:pPr>
              <w:pStyle w:val="TableContents"/>
              <w:bidi w:val="0"/>
              <w:spacing w:before="0" w:after="0"/>
              <w:jc w:val="left"/>
              <w:rPr>
                <w:rFonts w:ascii="arial" w:hAnsi="arial"/>
                <w:sz w:val="20"/>
              </w:rPr>
            </w:pPr>
            <w:r>
              <w:rPr>
                <w:rFonts w:ascii="arial" w:hAnsi="arial"/>
                <w:sz w:val="20"/>
              </w:rPr>
              <w:t>Janet E. Jackson</w:t>
            </w:r>
          </w:p>
          <w:p>
            <w:pPr>
              <w:pStyle w:val="TableContents"/>
              <w:bidi w:val="0"/>
              <w:spacing w:before="0" w:after="0"/>
              <w:jc w:val="left"/>
              <w:rPr/>
            </w:pPr>
            <w:r>
              <w:rPr/>
              <w:t> </w:t>
            </w:r>
          </w:p>
          <w:p>
            <w:pPr>
              <w:pStyle w:val="TableContents"/>
              <w:bidi w:val="0"/>
              <w:spacing w:before="0" w:after="0"/>
              <w:jc w:val="left"/>
              <w:rPr>
                <w:rFonts w:ascii="arial" w:hAnsi="arial"/>
                <w:b/>
                <w:color w:val="1070B8"/>
                <w:sz w:val="20"/>
              </w:rPr>
            </w:pPr>
            <w:r>
              <w:rPr>
                <w:rFonts w:ascii="arial" w:hAnsi="arial"/>
                <w:b/>
                <w:color w:val="1070B8"/>
                <w:sz w:val="20"/>
              </w:rPr>
              <w:t>Other Members:</w:t>
            </w:r>
          </w:p>
          <w:p>
            <w:pPr>
              <w:pStyle w:val="TableContents"/>
              <w:bidi w:val="0"/>
              <w:spacing w:before="0" w:after="0"/>
              <w:jc w:val="left"/>
              <w:rPr>
                <w:rFonts w:ascii="arial" w:hAnsi="arial"/>
                <w:sz w:val="20"/>
              </w:rPr>
            </w:pPr>
            <w:r>
              <w:rPr>
                <w:rFonts w:ascii="arial" w:hAnsi="arial"/>
                <w:sz w:val="20"/>
              </w:rPr>
              <w:t>David R. Meuse</w:t>
            </w:r>
          </w:p>
          <w:p>
            <w:pPr>
              <w:pStyle w:val="TableContents"/>
              <w:bidi w:val="0"/>
              <w:spacing w:before="0" w:after="0"/>
              <w:jc w:val="left"/>
              <w:rPr>
                <w:rFonts w:ascii="arial" w:hAnsi="arial"/>
                <w:sz w:val="20"/>
              </w:rPr>
            </w:pPr>
            <w:r>
              <w:rPr>
                <w:rFonts w:ascii="arial" w:hAnsi="arial"/>
                <w:sz w:val="20"/>
              </w:rPr>
              <w:t>Marchelle E. Moore</w:t>
            </w:r>
          </w:p>
          <w:p>
            <w:pPr>
              <w:pStyle w:val="TableContents"/>
              <w:bidi w:val="0"/>
              <w:spacing w:before="0" w:after="0"/>
              <w:jc w:val="left"/>
              <w:rPr/>
            </w:pPr>
            <w:r>
              <w:rPr/>
              <w:t> </w:t>
            </w:r>
          </w:p>
          <w:p>
            <w:pPr>
              <w:pStyle w:val="TableContents"/>
              <w:bidi w:val="0"/>
              <w:spacing w:before="0" w:after="0"/>
              <w:jc w:val="left"/>
              <w:rPr>
                <w:rFonts w:ascii="arial" w:hAnsi="arial"/>
                <w:b/>
                <w:color w:val="1070B8"/>
                <w:sz w:val="20"/>
              </w:rPr>
            </w:pPr>
            <w:r>
              <w:rPr>
                <w:rFonts w:ascii="arial" w:hAnsi="arial"/>
                <w:b/>
                <w:color w:val="1070B8"/>
                <w:sz w:val="20"/>
              </w:rPr>
              <w:t>Meetings in 2021: 5</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All members are independent under NYSE rules; “non-employee directors” under SEC rules; and “outside directors” under the Internal Revenue Code</w:t>
            </w:r>
          </w:p>
        </w:tc>
        <w:tc>
          <w:tcPr>
            <w:tcW w:w="120" w:type="dxa"/>
            <w:tcBorders>
              <w:top w:val="single" w:sz="12" w:space="0" w:color="1F295C"/>
              <w:bottom w:val="single" w:sz="12" w:space="0" w:color="1F295C"/>
            </w:tcBorders>
            <w:shd w:fill="DCE8F3" w:val="clear"/>
            <w:tcMar>
              <w:top w:w="28" w:type="dxa"/>
              <w:bottom w:w="28" w:type="dxa"/>
            </w:tcMar>
            <w:vAlign w:val="center"/>
          </w:tcPr>
          <w:p>
            <w:pPr>
              <w:pStyle w:val="TableContents"/>
              <w:bidi w:val="0"/>
              <w:spacing w:before="0" w:after="283"/>
              <w:jc w:val="left"/>
              <w:rPr/>
            </w:pPr>
            <w:r>
              <w:rPr/>
              <w:t>  </w:t>
            </w:r>
          </w:p>
        </w:tc>
        <w:tc>
          <w:tcPr>
            <w:tcW w:w="6905" w:type="dxa"/>
            <w:tcBorders>
              <w:top w:val="single" w:sz="12" w:space="0" w:color="1F295C"/>
              <w:bottom w:val="single" w:sz="12" w:space="0" w:color="1F295C"/>
            </w:tcBorders>
            <w:shd w:fill="DCE8F3"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1070B8"/>
                <w:sz w:val="20"/>
              </w:rPr>
              <w:t>Purpose:</w:t>
            </w:r>
            <w:r>
              <w:rPr>
                <w:rFonts w:ascii="arial" w:hAnsi="arial"/>
                <w:sz w:val="20"/>
              </w:rPr>
              <w:t xml:space="preserve"> The CHC Committee oversees our human capital management practices; the design, administration and risk management of our compensation and benefit plans, policies and programs; and determines the compensation of our executive officers.</w:t>
            </w:r>
          </w:p>
          <w:p>
            <w:pPr>
              <w:pStyle w:val="TableContents"/>
              <w:bidi w:val="0"/>
              <w:spacing w:before="0" w:after="0"/>
              <w:jc w:val="left"/>
              <w:rPr/>
            </w:pPr>
            <w:r>
              <w:rPr/>
              <w:t> </w:t>
            </w:r>
          </w:p>
          <w:p>
            <w:pPr>
              <w:pStyle w:val="TableContents"/>
              <w:bidi w:val="0"/>
              <w:spacing w:before="0" w:after="20"/>
              <w:jc w:val="left"/>
              <w:rPr/>
            </w:pPr>
            <w:r>
              <w:rPr/>
              <w:t> </w:t>
            </w:r>
          </w:p>
        </w:tc>
      </w:tr>
      <w:tr>
        <w:trPr/>
        <w:tc>
          <w:tcPr>
            <w:tcW w:w="318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070B8"/>
                <w:sz w:val="20"/>
              </w:rPr>
            </w:pPr>
            <w:r>
              <w:rPr>
                <w:rFonts w:ascii="arial" w:hAnsi="arial"/>
                <w:b/>
                <w:color w:val="1070B8"/>
                <w:sz w:val="20"/>
              </w:rPr>
              <w:t>Responsibilities: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Determining annually the compensation and benefits of our executive officers, including salary, bonus, cash and equity incentive compensation, perquisites, severance and other forms of executive compensation.</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Approving annual incentive metrics and incentive compensation targets of our executive officers and evaluating achievement of the targets and the performance of our executive officers in light of the established objectives and targets.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Overseeing the administration of our 2023 Omnibus Incentive Plan.</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Reviewing our executive compensation programs to determine whether they are effective in achieving their intended purposes.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Developing and monitoring policies regarding equity holding requirements, clawback of executive compensation, equity granting, hedging and pledging policies, say-on-pay and other matters as the Committee deems appropriate.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Annual review of compliance by executive officers and non-employee directors with stock ownership policies established by the Board.</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Overseeing potential risks related to the design and administration of our compensation plans in order to promote appropriate incentives that do not encourage executive officers to take unnecessary or excessive risk and ensuring that our compensation practices for executives and other employees are not likely to have a material adverse effect on the Company.</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Reviewing and approving any employment agreements, severance arrangements, change in control agreements and supplemental compensation and benefits for executive officers.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Evaluating and recommending non-employee director compensation.</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Overseeing human capital management, including programs for the health, safety and welfare of our employees, talent development initiatives, employee recruitment and retention and employee compensation practices.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Overseeing the activities of the Company’s Foundation and other corporate giving programs.</w:t>
            </w:r>
          </w:p>
          <w:p>
            <w:pPr>
              <w:pStyle w:val="TableContents"/>
              <w:bidi w:val="0"/>
              <w:spacing w:before="0" w:after="20"/>
              <w:jc w:val="left"/>
              <w:rPr/>
            </w:pPr>
            <w:r>
              <w:rPr/>
              <w:t> </w:t>
            </w:r>
          </w:p>
        </w:tc>
      </w:tr>
    </w:tbl>
    <w:p>
      <w:pPr>
        <w:pStyle w:val="TextBody"/>
        <w:bidi w:val="0"/>
        <w:spacing w:before="240" w:after="0"/>
        <w:jc w:val="left"/>
        <w:rPr>
          <w:rFonts w:ascii="arial" w:hAnsi="arial"/>
          <w:color w:val="1070B8"/>
          <w:sz w:val="20"/>
        </w:rPr>
      </w:pPr>
      <w:r>
        <w:rPr>
          <w:rFonts w:ascii="arial" w:hAnsi="arial"/>
          <w:color w:val="1070B8"/>
          <w:sz w:val="20"/>
        </w:rPr>
        <w:t xml:space="preserve">CHC Committee Interlocks and Insider Participation </w:t>
      </w:r>
    </w:p>
    <w:p>
      <w:pPr>
        <w:pStyle w:val="TextBody"/>
        <w:bidi w:val="0"/>
        <w:spacing w:before="240" w:after="0"/>
        <w:jc w:val="left"/>
        <w:rPr>
          <w:rFonts w:ascii="arial" w:hAnsi="arial"/>
          <w:sz w:val="20"/>
        </w:rPr>
      </w:pPr>
      <w:r>
        <w:rPr>
          <w:rFonts w:ascii="arial" w:hAnsi="arial"/>
          <w:sz w:val="20"/>
        </w:rPr>
        <w:t xml:space="preserve">During 2024 no officer, former officer or employee of the Company served as a member of our CHC Committee, and none of our executive officers served as a member of the board of directors or the compensation committee of any entity whose executive officers served on our Board or CHC Committee.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40" w:after="0"/>
        <w:jc w:val="center"/>
        <w:rPr>
          <w:rFonts w:ascii="arial" w:hAnsi="arial"/>
          <w:color w:val="1070B8"/>
          <w:sz w:val="20"/>
        </w:rPr>
      </w:pPr>
      <w:r>
        <w:rPr>
          <w:rFonts w:ascii="arial" w:hAnsi="arial"/>
          <w:color w:val="1070B8"/>
          <w:sz w:val="20"/>
        </w:rPr>
        <w:t xml:space="preserve">Corporate Governance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715"/>
        <w:gridCol w:w="120"/>
        <w:gridCol w:w="8370"/>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1F295C"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1F295C"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b/>
                <w:color w:val="FFFFFF"/>
                <w:sz w:val="24"/>
              </w:rPr>
              <w:t>Nominating and Corporate Governance Committee</w:t>
            </w:r>
          </w:p>
          <w:p>
            <w:pPr>
              <w:pStyle w:val="TableContents"/>
              <w:bidi w:val="0"/>
              <w:spacing w:before="0" w:after="20"/>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70" w:type="dxa"/>
            <w:tcBorders/>
            <w:vAlign w:val="center"/>
          </w:tcPr>
          <w:p>
            <w:pPr>
              <w:pStyle w:val="TableContents"/>
              <w:bidi w:val="0"/>
              <w:spacing w:before="0" w:after="283"/>
              <w:jc w:val="left"/>
              <w:rPr>
                <w:sz w:val="4"/>
                <w:szCs w:val="4"/>
              </w:rPr>
            </w:pPr>
            <w:r>
              <w:rPr>
                <w:sz w:val="4"/>
                <w:szCs w:val="4"/>
              </w:rPr>
            </w:r>
          </w:p>
        </w:tc>
      </w:tr>
      <w:tr>
        <w:trPr/>
        <w:tc>
          <w:tcPr>
            <w:tcW w:w="1715" w:type="dxa"/>
            <w:vMerge w:val="restart"/>
            <w:tcBorders/>
            <w:vAlign w:val="center"/>
          </w:tcPr>
          <w:p>
            <w:pPr>
              <w:pStyle w:val="TableContents"/>
              <w:bidi w:val="0"/>
              <w:spacing w:before="0" w:after="0"/>
              <w:jc w:val="left"/>
              <w:rPr>
                <w:rFonts w:ascii="arial" w:hAnsi="arial"/>
                <w:b/>
                <w:color w:val="1070B8"/>
                <w:sz w:val="20"/>
              </w:rPr>
            </w:pPr>
            <w:r>
              <w:rPr>
                <w:rFonts w:ascii="arial" w:hAnsi="arial"/>
                <w:b/>
                <w:color w:val="1070B8"/>
                <w:sz w:val="20"/>
              </w:rPr>
              <w:t>Chair:</w:t>
            </w:r>
          </w:p>
          <w:p>
            <w:pPr>
              <w:pStyle w:val="TableContents"/>
              <w:bidi w:val="0"/>
              <w:spacing w:before="0" w:after="0"/>
              <w:jc w:val="left"/>
              <w:rPr>
                <w:rFonts w:ascii="arial" w:hAnsi="arial"/>
                <w:sz w:val="20"/>
              </w:rPr>
            </w:pPr>
            <w:r>
              <w:rPr>
                <w:rFonts w:ascii="arial" w:hAnsi="arial"/>
                <w:sz w:val="20"/>
              </w:rPr>
              <w:t>Margot L. Carter</w:t>
            </w:r>
          </w:p>
          <w:p>
            <w:pPr>
              <w:pStyle w:val="TableContents"/>
              <w:bidi w:val="0"/>
              <w:spacing w:before="0" w:after="0"/>
              <w:jc w:val="left"/>
              <w:rPr/>
            </w:pPr>
            <w:r>
              <w:rPr/>
              <w:t> </w:t>
            </w:r>
          </w:p>
          <w:p>
            <w:pPr>
              <w:pStyle w:val="TableContents"/>
              <w:bidi w:val="0"/>
              <w:spacing w:before="0" w:after="0"/>
              <w:jc w:val="left"/>
              <w:rPr>
                <w:rFonts w:ascii="arial" w:hAnsi="arial"/>
                <w:b/>
                <w:color w:val="1070B8"/>
                <w:sz w:val="20"/>
              </w:rPr>
            </w:pPr>
            <w:r>
              <w:rPr>
                <w:rFonts w:ascii="arial" w:hAnsi="arial"/>
                <w:b/>
                <w:color w:val="1070B8"/>
                <w:sz w:val="20"/>
              </w:rPr>
              <w:t>Other Members:</w:t>
            </w:r>
          </w:p>
          <w:p>
            <w:pPr>
              <w:pStyle w:val="TableContents"/>
              <w:bidi w:val="0"/>
              <w:spacing w:before="0" w:after="0"/>
              <w:jc w:val="left"/>
              <w:rPr>
                <w:rFonts w:ascii="arial" w:hAnsi="arial"/>
                <w:sz w:val="20"/>
              </w:rPr>
            </w:pPr>
            <w:r>
              <w:rPr>
                <w:rFonts w:ascii="arial" w:hAnsi="arial"/>
                <w:sz w:val="20"/>
              </w:rPr>
              <w:t>Lawrence A. Hilsheimer</w:t>
            </w:r>
          </w:p>
          <w:p>
            <w:pPr>
              <w:pStyle w:val="TableContents"/>
              <w:bidi w:val="0"/>
              <w:spacing w:before="0" w:after="0"/>
              <w:jc w:val="left"/>
              <w:rPr>
                <w:rFonts w:ascii="arial" w:hAnsi="arial"/>
                <w:sz w:val="20"/>
              </w:rPr>
            </w:pPr>
            <w:r>
              <w:rPr>
                <w:rFonts w:ascii="arial" w:hAnsi="arial"/>
                <w:sz w:val="20"/>
              </w:rPr>
              <w:t>Janet E. Jackson</w:t>
            </w:r>
          </w:p>
          <w:p>
            <w:pPr>
              <w:pStyle w:val="TableContents"/>
              <w:bidi w:val="0"/>
              <w:spacing w:before="0" w:after="0"/>
              <w:jc w:val="left"/>
              <w:rPr>
                <w:rFonts w:ascii="arial" w:hAnsi="arial"/>
                <w:sz w:val="20"/>
              </w:rPr>
            </w:pPr>
            <w:r>
              <w:rPr>
                <w:rFonts w:ascii="arial" w:hAnsi="arial"/>
                <w:sz w:val="20"/>
              </w:rPr>
              <w:t>Marchelle E. Moore</w:t>
            </w:r>
          </w:p>
          <w:p>
            <w:pPr>
              <w:pStyle w:val="TableContents"/>
              <w:bidi w:val="0"/>
              <w:spacing w:before="0" w:after="0"/>
              <w:jc w:val="left"/>
              <w:rPr/>
            </w:pPr>
            <w:r>
              <w:rPr/>
              <w:t> </w:t>
            </w:r>
          </w:p>
          <w:p>
            <w:pPr>
              <w:pStyle w:val="TableContents"/>
              <w:bidi w:val="0"/>
              <w:spacing w:before="0" w:after="0"/>
              <w:jc w:val="left"/>
              <w:rPr>
                <w:rFonts w:ascii="arial" w:hAnsi="arial"/>
                <w:b/>
                <w:color w:val="1070B8"/>
                <w:sz w:val="20"/>
              </w:rPr>
            </w:pPr>
            <w:r>
              <w:rPr>
                <w:rFonts w:ascii="arial" w:hAnsi="arial"/>
                <w:b/>
                <w:color w:val="1070B8"/>
                <w:sz w:val="20"/>
              </w:rPr>
              <w:t>Meetings in 2021: 4</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All members are independent under NYSE rules</w:t>
            </w:r>
          </w:p>
        </w:tc>
        <w:tc>
          <w:tcPr>
            <w:tcW w:w="120" w:type="dxa"/>
            <w:tcBorders>
              <w:top w:val="single" w:sz="12" w:space="0" w:color="1F295C"/>
              <w:bottom w:val="single" w:sz="12" w:space="0" w:color="1F295C"/>
            </w:tcBorders>
            <w:shd w:fill="DCE8F3" w:val="clear"/>
            <w:tcMar>
              <w:top w:w="28" w:type="dxa"/>
              <w:bottom w:w="28" w:type="dxa"/>
            </w:tcMar>
            <w:vAlign w:val="center"/>
          </w:tcPr>
          <w:p>
            <w:pPr>
              <w:pStyle w:val="TableContents"/>
              <w:bidi w:val="0"/>
              <w:spacing w:before="0" w:after="283"/>
              <w:jc w:val="left"/>
              <w:rPr/>
            </w:pPr>
            <w:r>
              <w:rPr/>
              <w:t>  </w:t>
            </w:r>
          </w:p>
        </w:tc>
        <w:tc>
          <w:tcPr>
            <w:tcW w:w="8370" w:type="dxa"/>
            <w:tcBorders>
              <w:top w:val="single" w:sz="12" w:space="0" w:color="1F295C"/>
              <w:bottom w:val="single" w:sz="12" w:space="0" w:color="1F295C"/>
            </w:tcBorders>
            <w:shd w:fill="DCE8F3"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1070B8"/>
                <w:sz w:val="20"/>
              </w:rPr>
              <w:t>Purpose:</w:t>
            </w:r>
            <w:r>
              <w:rPr>
                <w:rFonts w:ascii="arial" w:hAnsi="arial"/>
                <w:sz w:val="20"/>
              </w:rPr>
              <w:t xml:space="preserve"> The NCG Committee oversees our corporate governance practices and processes, including any risks that may arise in connection with our governance practices, and provides oversight of our environmental and sustainability initiatives.</w:t>
            </w:r>
          </w:p>
          <w:p>
            <w:pPr>
              <w:pStyle w:val="TableContents"/>
              <w:bidi w:val="0"/>
              <w:spacing w:before="0" w:after="20"/>
              <w:jc w:val="left"/>
              <w:rPr/>
            </w:pPr>
            <w:r>
              <w:rPr/>
              <w:t> </w:t>
            </w:r>
          </w:p>
        </w:tc>
      </w:tr>
      <w:tr>
        <w:trPr/>
        <w:tc>
          <w:tcPr>
            <w:tcW w:w="171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070B8"/>
                <w:sz w:val="20"/>
              </w:rPr>
            </w:pPr>
            <w:r>
              <w:rPr>
                <w:rFonts w:ascii="arial" w:hAnsi="arial"/>
                <w:b/>
                <w:color w:val="1070B8"/>
                <w:sz w:val="20"/>
              </w:rPr>
              <w:t>Responsibilities: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Establishing criteria for the selection of directors to serve on the Board.</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Identifying and recommending to the Board qualified director candidates, including whether directors should stand for re-election, evaluating candidates recommended by stockholders on a substantially similar basis as it considers other nominees, and conducting appropriate inquiries into the backgrounds and qualifications of director candidates.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Considering independence and possible conflicts of interest of directors, and whether a director or director candidate has special relationships, interests or a specific agenda that would impair his or her ability to effectively represent the interests of all stockholders.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Reviewing and recommending to the Board the composition and size of the Board in order to ensure the Board has the requisite expertise and consists of persons with sufficiently diverse backgrounds.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Overseeing an annual self-evaluation of the Board and its committees.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Recommending directors to serve on the committees of the Board, and where appropriate, recommending the removal of any member of any committee.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Monitoring the structure and operations of Board committees.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Reviewing the adequacy of the Company’s certificate of incorporation, bylaws, corporate governance guidelines, Ethics Code and committee charters and recommending amendments to the Board.</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Reviewing the Board’s leadership structure to assess whether it is appropriate in light of current circumstances.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Overseeing annual review by the Board of succession planning for senior executives.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In coordination with other Board committees, reviewing and overseeing the Company’s ESG initiatives, opportunities and reporting, including advising the Board on current and emerging ESG trends that may affect the business, operations, performance, risk and external relations of the Company, as well as overseeing the Company’s sustainability practices and initiatives and climate change impacts.</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40" w:after="0"/>
        <w:jc w:val="center"/>
        <w:rPr>
          <w:rFonts w:ascii="arial" w:hAnsi="arial"/>
          <w:color w:val="1070B8"/>
          <w:sz w:val="20"/>
        </w:rPr>
      </w:pPr>
      <w:r>
        <w:rPr>
          <w:rFonts w:ascii="arial" w:hAnsi="arial"/>
          <w:color w:val="1070B8"/>
          <w:sz w:val="20"/>
        </w:rPr>
        <w:t xml:space="preserve">Corporate Governance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32" w:name="toc849638_33"/>
      <w:bookmarkEnd w:id="32"/>
      <w:r>
        <w:rPr>
          <w:rFonts w:ascii="arial" w:hAnsi="arial"/>
          <w:b/>
          <w:color w:val="1F295C"/>
          <w:sz w:val="24"/>
        </w:rPr>
        <w:t xml:space="preserve">Director Independence </w:t>
      </w:r>
    </w:p>
    <w:p>
      <w:pPr>
        <w:pStyle w:val="TextBody"/>
        <w:bidi w:val="0"/>
        <w:spacing w:before="240" w:after="0"/>
        <w:jc w:val="left"/>
        <w:rPr>
          <w:rFonts w:ascii="arial" w:hAnsi="arial"/>
          <w:sz w:val="20"/>
        </w:rPr>
      </w:pPr>
      <w:r>
        <w:rPr>
          <w:rFonts w:ascii="arial" w:hAnsi="arial"/>
          <w:sz w:val="20"/>
        </w:rPr>
        <w:t xml:space="preserve">Based upon information provided by each director concerning his or her employment and other affiliations, our NCG Committee and Board of Directors have determined that Mmes. Carter, Jackson and Moore and Messrs. Hilsheimer, Meuse, Schottenstein and Thomas have no material relationship with the Company or its subsidiaries, either directly or indirectly, that would interfere with the exercise of their independent judgment, and that each qualifies as an “independent director” as defined by SEC and NYSE rules. </w:t>
      </w:r>
    </w:p>
    <w:p>
      <w:pPr>
        <w:pStyle w:val="TextBody"/>
        <w:bidi w:val="0"/>
        <w:spacing w:before="240" w:after="0"/>
        <w:jc w:val="left"/>
        <w:rPr>
          <w:rFonts w:ascii="arial" w:hAnsi="arial"/>
          <w:sz w:val="20"/>
        </w:rPr>
      </w:pPr>
      <w:r>
        <w:rPr>
          <w:rFonts w:ascii="arial" w:hAnsi="arial"/>
          <w:sz w:val="20"/>
        </w:rPr>
        <w:t xml:space="preserve">When determining whether a director qualifies as independent, the Board broadly considers all relevant facts and circumstances to determine whether the director has any material relationship with the Company, either directly or indirectly, that would interfere with the exercise of independent judgment. In the course of determining the independence of Mr. Meuse, the Board considered that Mr. Meuse’s son is an employee of Blackrock, Inc., which holds more than 10% of our common stock. Based on the fact that Mr. Meuse’s son is not an executive officer, director or control person of Blackrock, Inc., the Board does not believe that this relationship impairs the independence of Mr. Meuse. In the course of determining the independence of Mr. Schottenstein, the Board considered that Mr. Schottenstein is the Chief Executive Officer of M/I Homes, Inc., a national single-family homebuilding company with which we conduct transactions in the ordinary course of our business. Based on the aggregate annual value of these transactions (less than 1% of the annual revenues of each of the Company and M/I Homes, Inc. in 2024) and the nature of the transactions (which is the sale and installation of building products in new residential homes in the ordinary course of business of both companies), the Board does not believe that this relationship impairs the independence of Mr. Schottenstein or that Mr. Schottenstein has any material interest in any transaction between the Company and M/I Homes, Inc. Upon careful consideration, the Board of Directors has determined that seven of our nine directors are independent, and that each Board committee is comprised entirely of independent directors. There are no family relationships among our executive officers and our directors. </w:t>
      </w:r>
    </w:p>
    <w:p>
      <w:pPr>
        <w:pStyle w:val="TextBody"/>
        <w:bidi w:val="0"/>
        <w:spacing w:before="240" w:after="0"/>
        <w:jc w:val="left"/>
        <w:rPr>
          <w:rFonts w:ascii="arial" w:hAnsi="arial"/>
          <w:sz w:val="20"/>
        </w:rPr>
      </w:pPr>
      <w:r>
        <w:rPr>
          <w:rFonts w:ascii="arial" w:hAnsi="arial"/>
          <w:sz w:val="20"/>
        </w:rPr>
        <w:t xml:space="preserve">In making its independence recommendations, the NCG Committee evaluates the commercial, charitable and employment relationships that exist between the Company and the directors and entities with which they or members of their immediate families are affiliated (including charitable institutions to which we have given donations if the director is affiliated with such institutions). The NCG Committee also considers other relevant facts and circumstances regarding the nature of these transactions and relationships to determine whether other factors, regardless of the independence standards, might compromise a director’s independence. </w:t>
      </w:r>
    </w:p>
    <w:p>
      <w:pPr>
        <w:pStyle w:val="TextBody"/>
        <w:bidi w:val="0"/>
        <w:spacing w:before="240" w:after="0"/>
        <w:jc w:val="left"/>
        <w:rPr>
          <w:rFonts w:ascii="arial" w:hAnsi="arial"/>
          <w:b/>
          <w:color w:val="1F295C"/>
          <w:sz w:val="24"/>
        </w:rPr>
      </w:pPr>
      <w:bookmarkStart w:id="33" w:name="toc849638_34"/>
      <w:bookmarkEnd w:id="33"/>
      <w:r>
        <w:rPr>
          <w:rFonts w:ascii="arial" w:hAnsi="arial"/>
          <w:b/>
          <w:color w:val="1F295C"/>
          <w:sz w:val="24"/>
        </w:rPr>
        <w:t xml:space="preserve">Annual Board and Committee Self-Assessments </w:t>
      </w:r>
    </w:p>
    <w:p>
      <w:pPr>
        <w:pStyle w:val="TextBody"/>
        <w:bidi w:val="0"/>
        <w:spacing w:before="240" w:after="0"/>
        <w:jc w:val="left"/>
        <w:rPr>
          <w:rFonts w:ascii="arial" w:hAnsi="arial"/>
          <w:sz w:val="20"/>
        </w:rPr>
      </w:pPr>
      <w:r>
        <w:rPr>
          <w:rFonts w:ascii="arial" w:hAnsi="arial"/>
          <w:sz w:val="20"/>
        </w:rPr>
        <w:t xml:space="preserve">Pursuant to NYSE requirements, our Corporate Governance Guidelines and the charters of each of our Board committees, the Board and each of its committees conduct an annual self-assessment. The self-assessment is intended to determine whether the Board and the committees are functioning effectively and to provide them with an opportunity to improve. The self-assessment enables directors to provide confidential feedback on topics including the effectiveness of Board oversight of management, business strategy and enterprise risk; Board and committee composition, structure, skills and function; Board and management culture; Board resources and processes; and the effectiveness of individual directors. A summary of the results is presented to the NCG Committee, which is responsible for oversight of the process. The NCG Committee reports the results of the self-assessments to the Board, which considers ways in which Board and committee effectiveness may be improved. This process helps identify opportunities to consider implementing new practices and procedures as appropriate. While the formal self-evaluation is conducted on an annual basis, the directors share perspectives, feedback and suggestions throughout the year. </w:t>
      </w:r>
    </w:p>
    <w:p>
      <w:pPr>
        <w:pStyle w:val="TextBody"/>
        <w:bidi w:val="0"/>
        <w:spacing w:before="240" w:after="0"/>
        <w:jc w:val="left"/>
        <w:rPr>
          <w:rFonts w:ascii="arial" w:hAnsi="arial"/>
          <w:b/>
          <w:color w:val="1F295C"/>
          <w:sz w:val="24"/>
        </w:rPr>
      </w:pPr>
      <w:bookmarkStart w:id="34" w:name="toc849638_35"/>
      <w:bookmarkEnd w:id="34"/>
      <w:r>
        <w:rPr>
          <w:rFonts w:ascii="arial" w:hAnsi="arial"/>
          <w:b/>
          <w:color w:val="1F295C"/>
          <w:sz w:val="24"/>
        </w:rPr>
        <w:t xml:space="preserve">Meetings of the Board and Director Attendance </w:t>
      </w:r>
    </w:p>
    <w:p>
      <w:pPr>
        <w:pStyle w:val="TextBody"/>
        <w:bidi w:val="0"/>
        <w:spacing w:before="240" w:after="0"/>
        <w:jc w:val="left"/>
        <w:rPr>
          <w:rFonts w:ascii="arial" w:hAnsi="arial"/>
          <w:sz w:val="20"/>
        </w:rPr>
      </w:pPr>
      <w:r>
        <w:rPr>
          <w:rFonts w:ascii="arial" w:hAnsi="arial"/>
          <w:sz w:val="20"/>
        </w:rPr>
        <w:t xml:space="preserve">The Board of Directors held six meetings during 2024. Each director attended, in person or by telephone, at least 75% of the total number of meetings of both the Board and the committees on which he or she served during the year. Board members frequently attend meetings of committees on which they are not members to gain a better perspective of issues outside the purview of their committees. Board agendas are set in advance by management with the assistance of the Presiding Independent Director and the committee chairs to ensure that appropriate subjects are covered. Any member of the Board may request that an item be included on the agenda and often make such requests. Directors are provided with materials in advance of meetings and are expected to review these materials before each meeting to ensure that time in Board and committee meetings is focused on active discussions versus lengthy presentations. Although we do not have a formal policy requiring Board members to attend annual meetings of our stockholders, our directors are expected to make every effort to attend. All of our directors attended the Annual Meeting of Stockholders in 2024 except for Messrs. Meuse and Schottenstein.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Governance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35" w:name="toc849638_36"/>
      <w:bookmarkEnd w:id="35"/>
      <w:r>
        <w:rPr>
          <w:rFonts w:ascii="arial" w:hAnsi="arial"/>
          <w:b/>
          <w:color w:val="1F295C"/>
          <w:sz w:val="24"/>
        </w:rPr>
        <w:t xml:space="preserve">Executive Sessions of the Board </w:t>
      </w:r>
    </w:p>
    <w:p>
      <w:pPr>
        <w:pStyle w:val="TextBody"/>
        <w:bidi w:val="0"/>
        <w:spacing w:before="240" w:after="0"/>
        <w:jc w:val="left"/>
        <w:rPr>
          <w:rFonts w:ascii="arial" w:hAnsi="arial"/>
          <w:sz w:val="20"/>
        </w:rPr>
      </w:pPr>
      <w:r>
        <w:rPr>
          <w:rFonts w:ascii="arial" w:hAnsi="arial"/>
          <w:sz w:val="20"/>
        </w:rPr>
        <w:t xml:space="preserve">The Board holds regularly scheduled executive sessions in which the independent directors meet without the presence of management. These meetings allow the independent directors to discuss the business and affairs of the Company, the Company’s operating and financial performance and stockholder return, as well as matters concerning the performance of senior management, without any member of management present. Ms. Carter, as the Presiding Independent Director, chairs the meetings and acts as liaison among the independent directors and the other Board members and management. As part of the executive sessions, the independent directors may meet with our Chief Executive Officer, our management team members and representatives of our independent registered public accounting firm as they deem necessary or appropriate. The independent directors held four meetings in executive session during 2024. </w:t>
      </w:r>
    </w:p>
    <w:p>
      <w:pPr>
        <w:pStyle w:val="TextBody"/>
        <w:bidi w:val="0"/>
        <w:spacing w:before="240" w:after="0"/>
        <w:jc w:val="left"/>
        <w:rPr>
          <w:rFonts w:ascii="arial" w:hAnsi="arial"/>
          <w:b/>
          <w:color w:val="1F295C"/>
          <w:sz w:val="24"/>
        </w:rPr>
      </w:pPr>
      <w:bookmarkStart w:id="36" w:name="toc849638_37"/>
      <w:bookmarkEnd w:id="36"/>
      <w:r>
        <w:rPr>
          <w:rFonts w:ascii="arial" w:hAnsi="arial"/>
          <w:b/>
          <w:color w:val="1F295C"/>
          <w:sz w:val="24"/>
        </w:rPr>
        <w:t xml:space="preserve">Code of Business Conduct and Ethics </w:t>
      </w:r>
    </w:p>
    <w:p>
      <w:pPr>
        <w:pStyle w:val="TextBody"/>
        <w:bidi w:val="0"/>
        <w:spacing w:before="240" w:after="0"/>
        <w:jc w:val="left"/>
        <w:rPr>
          <w:rFonts w:ascii="arial" w:hAnsi="arial"/>
          <w:sz w:val="20"/>
        </w:rPr>
      </w:pPr>
      <w:r>
        <w:rPr>
          <w:rFonts w:ascii="arial" w:hAnsi="arial"/>
          <w:sz w:val="20"/>
        </w:rPr>
        <w:t xml:space="preserve">The Board has adopted an Ethics Code to promote honest and ethical conduct by our directors, officers and employees. Each director, officer and employee must observe the highest ethical standards of business conduct in dealings with our customers, suppliers, partners, service providers, competitors and employees. Directors, officers and employees may not give or receive any gift unless it meets certain requirements, including that the gift is not cash or a cash equivalent, comports with customary local business practices and is not excessive in value. </w:t>
      </w:r>
    </w:p>
    <w:p>
      <w:pPr>
        <w:pStyle w:val="TextBody"/>
        <w:bidi w:val="0"/>
        <w:spacing w:before="240" w:after="0"/>
        <w:jc w:val="left"/>
        <w:rPr>
          <w:rFonts w:ascii="arial" w:hAnsi="arial"/>
          <w:sz w:val="20"/>
        </w:rPr>
      </w:pPr>
      <w:r>
        <w:rPr>
          <w:rFonts w:ascii="arial" w:hAnsi="arial"/>
          <w:sz w:val="20"/>
        </w:rPr>
        <w:t xml:space="preserve">The Ethics Code governs conflicts of interest, including financial involvement with, or ownership of, an entity that has business relationships with the Company. A director may serve as a board member of a customer or supplier of the Company only if such service would not affect his or her status as an independent director. The Ethics Code prohibits loans by the Company to, or guarantees by the Company of obligations of, any director or officer or their family members. Directors and executive officers must seek prior review and approval of potential conflicts of interest from the Audit Committee. </w:t>
      </w:r>
    </w:p>
    <w:p>
      <w:pPr>
        <w:pStyle w:val="TextBody"/>
        <w:bidi w:val="0"/>
        <w:spacing w:before="240" w:after="0"/>
        <w:jc w:val="left"/>
        <w:rPr>
          <w:rFonts w:ascii="arial" w:hAnsi="arial"/>
          <w:sz w:val="20"/>
        </w:rPr>
      </w:pPr>
      <w:r>
        <w:rPr>
          <w:rFonts w:ascii="arial" w:hAnsi="arial"/>
          <w:sz w:val="20"/>
        </w:rPr>
        <w:t xml:space="preserve">All directors, officers and employees are prohibited under the Ethics Code from using Company assets, information or position for personal gain. Unauthorized use or distribution of the Company’s proprietary information such as trade secrets, patents, trademarks and copyrights, as well as business and marketing plans, business processes, designs, databases, proprietary software, customer information, records and any non-public financial data or reports is prohibited. </w:t>
      </w:r>
    </w:p>
    <w:p>
      <w:pPr>
        <w:pStyle w:val="TextBody"/>
        <w:bidi w:val="0"/>
        <w:spacing w:before="240" w:after="0"/>
        <w:jc w:val="left"/>
        <w:rPr>
          <w:rFonts w:ascii="arial" w:hAnsi="arial"/>
          <w:sz w:val="20"/>
        </w:rPr>
      </w:pPr>
      <w:r>
        <w:rPr>
          <w:rFonts w:ascii="arial" w:hAnsi="arial"/>
          <w:sz w:val="20"/>
        </w:rPr>
        <w:t xml:space="preserve">Suspected violations of the Ethics Code involving directors or executive officers must be reported to the Audit Committee, or the General Counsel for other employees. Upon investigation and a determination that there has been a violation of the Ethics Code, the Board or General Counsel will take such preventative or disciplinary action deemed appropriate, including reassignment, demotion, dismissal and, in the event of criminal conduct or other serious violations of law, notice to appropriate governmental authorities. We do not tolerate acts of retaliation against any anyone who makes a good faith report of known or suspected acts of misconduct or other violations of the Ethics Code.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Governance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1F295C"/>
          <w:spacing w:val="0"/>
          <w:sz w:val="24"/>
        </w:rPr>
      </w:pPr>
      <w:r>
        <w:rPr>
          <w:rFonts w:ascii="arial" w:hAnsi="arial"/>
          <w:b/>
          <w:color w:val="1F295C"/>
          <w:spacing w:val="0"/>
          <w:sz w:val="24"/>
        </w:rPr>
        <w:t xml:space="preserve">Insider Trading Policy and Hedging and Pledging Prohibition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20"/>
        </w:rPr>
      </w:pPr>
      <w:r>
        <w:rPr>
          <w:rFonts w:ascii="arial" w:hAnsi="arial"/>
          <w:sz w:val="20"/>
        </w:rPr>
        <w:t xml:space="preserve">Our insider trading policy prohibits all directors, officers, employees and their family members from directly or indirectly purchasing or selling any security, whether the issuer of that security is our Company or another company, while aware of material </w:t>
      </w:r>
    </w:p>
    <w:p>
      <w:pPr>
        <w:pStyle w:val="TextBody"/>
        <w:bidi w:val="0"/>
        <w:spacing w:before="240" w:after="0"/>
        <w:jc w:val="left"/>
        <w:rPr>
          <w:rFonts w:ascii="arial" w:hAnsi="arial"/>
          <w:spacing w:val="0"/>
          <w:sz w:val="20"/>
        </w:rPr>
      </w:pPr>
      <w:r>
        <w:rPr>
          <w:rFonts w:ascii="arial" w:hAnsi="arial"/>
          <w:spacing w:val="0"/>
          <w:sz w:val="20"/>
        </w:rPr>
        <w:t>non-public</w:t>
      </w:r>
    </w:p>
    <w:p>
      <w:pPr>
        <w:pStyle w:val="TextBody"/>
        <w:bidi w:val="0"/>
        <w:spacing w:before="240" w:after="0"/>
        <w:jc w:val="left"/>
        <w:rPr>
          <w:rFonts w:ascii="arial" w:hAnsi="arial"/>
          <w:sz w:val="20"/>
        </w:rPr>
      </w:pPr>
      <w:r>
        <w:rPr>
          <w:rFonts w:ascii="arial" w:hAnsi="arial"/>
          <w:sz w:val="20"/>
        </w:rPr>
        <w:t xml:space="preserve">information relating to the issuer. The policy also prohibits providing any such material </w:t>
      </w:r>
    </w:p>
    <w:p>
      <w:pPr>
        <w:pStyle w:val="TextBody"/>
        <w:bidi w:val="0"/>
        <w:spacing w:before="240" w:after="0"/>
        <w:jc w:val="left"/>
        <w:rPr>
          <w:rFonts w:ascii="arial" w:hAnsi="arial"/>
          <w:spacing w:val="0"/>
          <w:sz w:val="20"/>
        </w:rPr>
      </w:pPr>
      <w:r>
        <w:rPr>
          <w:rFonts w:ascii="arial" w:hAnsi="arial"/>
          <w:spacing w:val="0"/>
          <w:sz w:val="20"/>
        </w:rPr>
        <w:t>non-public</w:t>
      </w:r>
    </w:p>
    <w:p>
      <w:pPr>
        <w:pStyle w:val="TextBody"/>
        <w:bidi w:val="0"/>
        <w:spacing w:before="240" w:after="0"/>
        <w:jc w:val="left"/>
        <w:rPr>
          <w:rFonts w:ascii="arial" w:hAnsi="arial"/>
          <w:sz w:val="20"/>
        </w:rPr>
      </w:pPr>
      <w:r>
        <w:rPr>
          <w:rFonts w:ascii="arial" w:hAnsi="arial"/>
          <w:sz w:val="20"/>
        </w:rPr>
        <w:t xml:space="preserve">information to any other person who may trade in the securities while aware of such information. </w:t>
      </w:r>
    </w:p>
    <w:p>
      <w:pPr>
        <w:pStyle w:val="TextBody"/>
        <w:bidi w:val="0"/>
        <w:spacing w:before="240" w:after="0"/>
        <w:jc w:val="left"/>
        <w:rPr>
          <w:rFonts w:ascii="arial" w:hAnsi="arial"/>
          <w:sz w:val="20"/>
        </w:rPr>
      </w:pPr>
      <w:r>
        <w:rPr>
          <w:rFonts w:ascii="arial" w:hAnsi="arial"/>
          <w:sz w:val="20"/>
        </w:rPr>
        <w:t xml:space="preserve">Our insider trading policy prohibits all directors, officers and employees from engaging in the following transactions in Company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61"/>
        <w:gridCol w:w="120"/>
        <w:gridCol w:w="8924"/>
      </w:tblGrid>
      <w:tr>
        <w:trPr/>
        <w:tc>
          <w:tcPr>
            <w:tcW w:w="11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24" w:type="dxa"/>
            <w:tcBorders/>
            <w:vAlign w:val="center"/>
          </w:tcPr>
          <w:p>
            <w:pPr>
              <w:pStyle w:val="TableContents"/>
              <w:bidi w:val="0"/>
              <w:spacing w:before="0" w:after="283"/>
              <w:jc w:val="left"/>
              <w:rPr>
                <w:sz w:val="4"/>
                <w:szCs w:val="4"/>
              </w:rPr>
            </w:pPr>
            <w:r>
              <w:rPr>
                <w:sz w:val="4"/>
                <w:szCs w:val="4"/>
              </w:rPr>
            </w:r>
          </w:p>
        </w:tc>
      </w:tr>
      <w:tr>
        <w:trPr/>
        <w:tc>
          <w:tcPr>
            <w:tcW w:w="1161" w:type="dxa"/>
            <w:tcBorders>
              <w:top w:val="single" w:sz="12" w:space="0" w:color="0070C0"/>
              <w:bottom w:val="single" w:sz="6" w:space="0" w:color="000000"/>
            </w:tcBorders>
            <w:shd w:fill="D5DCE4" w:val="clear"/>
            <w:tcMar>
              <w:top w:w="28" w:type="dxa"/>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b/>
                <w:sz w:val="20"/>
              </w:rPr>
              <w:t>Speculating</w:t>
            </w:r>
          </w:p>
        </w:tc>
        <w:tc>
          <w:tcPr>
            <w:tcW w:w="120" w:type="dxa"/>
            <w:tcBorders>
              <w:top w:val="single" w:sz="12" w:space="0" w:color="0070C0"/>
              <w:bottom w:val="single" w:sz="6" w:space="0" w:color="000000"/>
            </w:tcBorders>
            <w:tcMar>
              <w:top w:w="28" w:type="dxa"/>
              <w:bottom w:w="28" w:type="dxa"/>
            </w:tcMar>
            <w:vAlign w:val="center"/>
          </w:tcPr>
          <w:p>
            <w:pPr>
              <w:pStyle w:val="TableContents"/>
              <w:bidi w:val="0"/>
              <w:spacing w:before="0" w:after="283"/>
              <w:jc w:val="left"/>
              <w:rPr/>
            </w:pPr>
            <w:r>
              <w:rPr/>
              <w:t>  </w:t>
            </w:r>
          </w:p>
        </w:tc>
        <w:tc>
          <w:tcPr>
            <w:tcW w:w="8924" w:type="dxa"/>
            <w:tcBorders>
              <w:top w:val="single" w:sz="12" w:space="0" w:color="0070C0"/>
              <w:bottom w:val="single" w:sz="6" w:space="0" w:color="000000"/>
            </w:tcBorders>
            <w:tcMar>
              <w:top w:w="28" w:type="dxa"/>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Speculating in securities of the Company, including buying with the intention of quickly reselling the securities, or selling Company securities with the intention of quickly buying the securities.</w:t>
            </w:r>
          </w:p>
        </w:tc>
      </w:tr>
      <w:tr>
        <w:trPr/>
        <w:tc>
          <w:tcPr>
            <w:tcW w:w="1161" w:type="dxa"/>
            <w:tcBorders>
              <w:bottom w:val="single" w:sz="6" w:space="0" w:color="000000"/>
            </w:tcBorders>
            <w:shd w:fill="D5DCE4"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b/>
                <w:sz w:val="20"/>
              </w:rPr>
              <w:t>Short Sales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924" w:type="dxa"/>
            <w:tcBorders>
              <w:bottom w:val="single" w:sz="6"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Directly or indirectly selling any equity security of the Company if the person does not own the security, including a “sale against the box” (a sale with delayed delivery).</w:t>
            </w:r>
          </w:p>
        </w:tc>
      </w:tr>
      <w:tr>
        <w:trPr/>
        <w:tc>
          <w:tcPr>
            <w:tcW w:w="1161" w:type="dxa"/>
            <w:tcBorders>
              <w:bottom w:val="single" w:sz="12" w:space="0" w:color="0070C0"/>
            </w:tcBorders>
            <w:shd w:fill="D5DCE4"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b/>
                <w:sz w:val="20"/>
              </w:rPr>
              <w:t>Hedging</w:t>
            </w:r>
          </w:p>
        </w:tc>
        <w:tc>
          <w:tcPr>
            <w:tcW w:w="120" w:type="dxa"/>
            <w:tcBorders>
              <w:bottom w:val="single" w:sz="12" w:space="0" w:color="0070C0"/>
            </w:tcBorders>
            <w:tcMar>
              <w:bottom w:w="28" w:type="dxa"/>
            </w:tcMar>
            <w:vAlign w:val="center"/>
          </w:tcPr>
          <w:p>
            <w:pPr>
              <w:pStyle w:val="TableContents"/>
              <w:bidi w:val="0"/>
              <w:spacing w:before="0" w:after="283"/>
              <w:jc w:val="left"/>
              <w:rPr/>
            </w:pPr>
            <w:r>
              <w:rPr/>
              <w:t>  </w:t>
            </w:r>
          </w:p>
        </w:tc>
        <w:tc>
          <w:tcPr>
            <w:tcW w:w="8924" w:type="dxa"/>
            <w:tcBorders>
              <w:bottom w:val="single" w:sz="12" w:space="0" w:color="0070C0"/>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Engaging in, directly or through family members or other persons or entities, any hedging or monetization transactions involving Company securities, including through the use of financial instruments such as puts, calls, publicly-traded options, swaps, forwards, warrants and any other derivative or similar instruments. The Board has made an exception for our CEO in connection with financing arrangements made by a family-owned investment vehicle. For additional details, see Footnote 2 in the “</w:t>
            </w:r>
          </w:p>
          <w:p>
            <w:pPr>
              <w:pStyle w:val="TableContents"/>
              <w:bidi w:val="0"/>
              <w:spacing w:before="0" w:after="20"/>
              <w:jc w:val="left"/>
              <w:rPr>
                <w:rFonts w:ascii="arial" w:hAnsi="arial"/>
                <w:i/>
                <w:caps w:val="false"/>
                <w:smallCaps w:val="false"/>
                <w:spacing w:val="0"/>
                <w:sz w:val="20"/>
              </w:rPr>
            </w:pPr>
            <w:r>
              <w:rPr>
                <w:rFonts w:ascii="arial" w:hAnsi="arial"/>
                <w:i/>
                <w:caps w:val="false"/>
                <w:smallCaps w:val="false"/>
                <w:spacing w:val="0"/>
                <w:sz w:val="20"/>
              </w:rPr>
              <w:t>Stock Ownership Table” b</w:t>
            </w:r>
          </w:p>
          <w:p>
            <w:pPr>
              <w:pStyle w:val="TableContents"/>
              <w:bidi w:val="0"/>
              <w:spacing w:before="0" w:after="20"/>
              <w:jc w:val="left"/>
              <w:rPr>
                <w:rFonts w:ascii="arial" w:hAnsi="arial"/>
                <w:sz w:val="20"/>
              </w:rPr>
            </w:pPr>
            <w:r>
              <w:rPr>
                <w:rFonts w:ascii="arial" w:hAnsi="arial"/>
                <w:sz w:val="20"/>
              </w:rPr>
              <w:t>eginning on page 79.</w:t>
            </w:r>
          </w:p>
        </w:tc>
      </w:tr>
    </w:tbl>
    <w:p>
      <w:pPr>
        <w:pStyle w:val="TextBody"/>
        <w:bidi w:val="0"/>
        <w:spacing w:before="240" w:after="0"/>
        <w:jc w:val="left"/>
        <w:rPr>
          <w:rFonts w:ascii="arial" w:hAnsi="arial"/>
          <w:sz w:val="20"/>
        </w:rPr>
      </w:pPr>
      <w:r>
        <w:rPr>
          <w:rFonts w:ascii="arial" w:hAnsi="arial"/>
          <w:sz w:val="20"/>
        </w:rPr>
        <w:t xml:space="preserve">The policy also prohibits our directors, officers and certain other designated employees from engaging in the following transactions in Company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4"/>
        <w:gridCol w:w="120"/>
        <w:gridCol w:w="9101"/>
      </w:tblGrid>
      <w:tr>
        <w:trPr/>
        <w:tc>
          <w:tcPr>
            <w:tcW w:w="9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01" w:type="dxa"/>
            <w:tcBorders/>
            <w:vAlign w:val="center"/>
          </w:tcPr>
          <w:p>
            <w:pPr>
              <w:pStyle w:val="TableContents"/>
              <w:bidi w:val="0"/>
              <w:spacing w:before="0" w:after="283"/>
              <w:jc w:val="left"/>
              <w:rPr>
                <w:sz w:val="4"/>
                <w:szCs w:val="4"/>
              </w:rPr>
            </w:pPr>
            <w:r>
              <w:rPr>
                <w:sz w:val="4"/>
                <w:szCs w:val="4"/>
              </w:rPr>
            </w:r>
          </w:p>
        </w:tc>
      </w:tr>
      <w:tr>
        <w:trPr/>
        <w:tc>
          <w:tcPr>
            <w:tcW w:w="984" w:type="dxa"/>
            <w:tcBorders>
              <w:top w:val="single" w:sz="12" w:space="0" w:color="0070C0"/>
              <w:bottom w:val="single" w:sz="12" w:space="0" w:color="0070C0"/>
            </w:tcBorders>
            <w:shd w:fill="D5DCE4" w:val="clear"/>
            <w:tcMar>
              <w:top w:w="28" w:type="dxa"/>
              <w:bottom w:w="8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spacing w:val="0"/>
                <w:sz w:val="20"/>
              </w:rPr>
            </w:pPr>
            <w:r>
              <w:rPr>
                <w:rFonts w:ascii="arial" w:hAnsi="arial"/>
                <w:b/>
                <w:spacing w:val="0"/>
                <w:sz w:val="20"/>
              </w:rPr>
              <w:t>Pledges and</w:t>
            </w:r>
          </w:p>
          <w:p>
            <w:pPr>
              <w:pStyle w:val="TableContents"/>
              <w:bidi w:val="0"/>
              <w:spacing w:before="0" w:after="0"/>
              <w:jc w:val="left"/>
              <w:rPr/>
            </w:pPr>
            <w:r>
              <w:rPr/>
              <w:t>  </w:t>
            </w:r>
            <w:r>
              <w:rPr>
                <w:rFonts w:ascii="arial" w:hAnsi="arial"/>
                <w:b/>
                <w:sz w:val="20"/>
              </w:rPr>
              <w:t>Margin</w:t>
            </w:r>
          </w:p>
          <w:p>
            <w:pPr>
              <w:pStyle w:val="TableContents"/>
              <w:bidi w:val="0"/>
              <w:spacing w:before="0" w:after="20"/>
              <w:jc w:val="left"/>
              <w:rPr/>
            </w:pPr>
            <w:r>
              <w:rPr/>
              <w:t>  </w:t>
            </w:r>
          </w:p>
          <w:p>
            <w:pPr>
              <w:pStyle w:val="TableContents"/>
              <w:bidi w:val="0"/>
              <w:spacing w:before="0" w:after="20"/>
              <w:jc w:val="left"/>
              <w:rPr>
                <w:rFonts w:ascii="arial" w:hAnsi="arial"/>
                <w:b/>
                <w:spacing w:val="0"/>
                <w:sz w:val="20"/>
              </w:rPr>
            </w:pPr>
            <w:r>
              <w:rPr>
                <w:rFonts w:ascii="arial" w:hAnsi="arial"/>
                <w:b/>
                <w:spacing w:val="0"/>
                <w:sz w:val="20"/>
              </w:rPr>
              <w:t>Accounts</w:t>
            </w:r>
          </w:p>
        </w:tc>
        <w:tc>
          <w:tcPr>
            <w:tcW w:w="120" w:type="dxa"/>
            <w:tcBorders>
              <w:top w:val="single" w:sz="12" w:space="0" w:color="0070C0"/>
              <w:bottom w:val="single" w:sz="12" w:space="0" w:color="0070C0"/>
            </w:tcBorders>
            <w:tcMar>
              <w:top w:w="28" w:type="dxa"/>
              <w:bottom w:w="28" w:type="dxa"/>
            </w:tcMar>
            <w:vAlign w:val="center"/>
          </w:tcPr>
          <w:p>
            <w:pPr>
              <w:pStyle w:val="TableContents"/>
              <w:bidi w:val="0"/>
              <w:spacing w:before="0" w:after="283"/>
              <w:jc w:val="left"/>
              <w:rPr/>
            </w:pPr>
            <w:r>
              <w:rPr/>
              <w:t>  </w:t>
            </w:r>
          </w:p>
        </w:tc>
        <w:tc>
          <w:tcPr>
            <w:tcW w:w="9101" w:type="dxa"/>
            <w:tcBorders>
              <w:top w:val="single" w:sz="12" w:space="0" w:color="0070C0"/>
              <w:bottom w:val="single" w:sz="12" w:space="0" w:color="0070C0"/>
            </w:tcBorders>
            <w:tcMar>
              <w:top w:w="28" w:type="dxa"/>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Pledging Company securities as collateral for a loan or holding Company securities as collateral in a margin account. Any person who engages in a hedging transaction involving Company securities, pledges Company securities as collateral for a loan or holds Company securities as collateral in a margin account is not eligible for election or </w:t>
            </w:r>
          </w:p>
          <w:p>
            <w:pPr>
              <w:pStyle w:val="TableContents"/>
              <w:bidi w:val="0"/>
              <w:spacing w:before="0" w:after="20"/>
              <w:jc w:val="left"/>
              <w:rPr>
                <w:rFonts w:ascii="arial" w:hAnsi="arial"/>
                <w:spacing w:val="0"/>
                <w:sz w:val="20"/>
              </w:rPr>
            </w:pPr>
            <w:r>
              <w:rPr>
                <w:rFonts w:ascii="arial" w:hAnsi="arial"/>
                <w:spacing w:val="0"/>
                <w:sz w:val="20"/>
              </w:rPr>
              <w:t>re-election</w:t>
            </w:r>
          </w:p>
          <w:p>
            <w:pPr>
              <w:pStyle w:val="TableContents"/>
              <w:bidi w:val="0"/>
              <w:spacing w:before="0" w:after="20"/>
              <w:jc w:val="left"/>
              <w:rPr>
                <w:rFonts w:ascii="arial" w:hAnsi="arial"/>
                <w:sz w:val="20"/>
              </w:rPr>
            </w:pPr>
            <w:r>
              <w:rPr>
                <w:rFonts w:ascii="arial" w:hAnsi="arial"/>
                <w:sz w:val="20"/>
              </w:rPr>
              <w:t>as a director. The Board has made an exception for our CEO in connection with financing arrangements made by a family-owned investment vehicle. For additional details, see Footnote 2 in the “</w:t>
            </w:r>
          </w:p>
          <w:p>
            <w:pPr>
              <w:pStyle w:val="TableContents"/>
              <w:bidi w:val="0"/>
              <w:spacing w:before="0" w:after="20"/>
              <w:jc w:val="left"/>
              <w:rPr>
                <w:rFonts w:ascii="arial" w:hAnsi="arial"/>
                <w:i/>
                <w:caps w:val="false"/>
                <w:smallCaps w:val="false"/>
                <w:spacing w:val="0"/>
                <w:sz w:val="20"/>
              </w:rPr>
            </w:pPr>
            <w:r>
              <w:rPr>
                <w:rFonts w:ascii="arial" w:hAnsi="arial"/>
                <w:i/>
                <w:caps w:val="false"/>
                <w:smallCaps w:val="false"/>
                <w:spacing w:val="0"/>
                <w:sz w:val="20"/>
              </w:rPr>
              <w:t>Stock Ownership Table” b</w:t>
            </w:r>
          </w:p>
          <w:p>
            <w:pPr>
              <w:pStyle w:val="TableContents"/>
              <w:bidi w:val="0"/>
              <w:spacing w:before="0" w:after="20"/>
              <w:jc w:val="left"/>
              <w:rPr>
                <w:rFonts w:ascii="arial" w:hAnsi="arial"/>
                <w:sz w:val="20"/>
              </w:rPr>
            </w:pPr>
            <w:r>
              <w:rPr>
                <w:rFonts w:ascii="arial" w:hAnsi="arial"/>
                <w:sz w:val="20"/>
              </w:rPr>
              <w:t>eginning on page 79.</w:t>
            </w:r>
          </w:p>
        </w:tc>
      </w:tr>
    </w:tbl>
    <w:p>
      <w:pPr>
        <w:pStyle w:val="TextBody"/>
        <w:bidi w:val="0"/>
        <w:spacing w:before="240" w:after="0"/>
        <w:jc w:val="left"/>
        <w:rPr>
          <w:rFonts w:ascii="arial" w:hAnsi="arial"/>
          <w:sz w:val="20"/>
        </w:rPr>
      </w:pPr>
      <w:r>
        <w:rPr>
          <w:rFonts w:ascii="arial" w:hAnsi="arial"/>
          <w:sz w:val="20"/>
        </w:rPr>
        <w:t xml:space="preserve">Our Insider Trading Policy has procedures that require transactions in our stock by executive officers, directors and other designated employees, and each of their family members and members of their households, only be made during open trading windows after satisfying mandatory </w:t>
      </w:r>
    </w:p>
    <w:p>
      <w:pPr>
        <w:pStyle w:val="TextBody"/>
        <w:bidi w:val="0"/>
        <w:spacing w:before="240" w:after="0"/>
        <w:jc w:val="left"/>
        <w:rPr>
          <w:rFonts w:ascii="arial" w:hAnsi="arial"/>
          <w:spacing w:val="0"/>
          <w:sz w:val="20"/>
        </w:rPr>
      </w:pPr>
      <w:r>
        <w:rPr>
          <w:rFonts w:ascii="arial" w:hAnsi="arial"/>
          <w:spacing w:val="0"/>
          <w:sz w:val="20"/>
        </w:rPr>
        <w:t>pre-clearance</w:t>
      </w:r>
    </w:p>
    <w:p>
      <w:pPr>
        <w:pStyle w:val="TextBody"/>
        <w:bidi w:val="0"/>
        <w:spacing w:before="240" w:after="0"/>
        <w:jc w:val="left"/>
        <w:rPr>
          <w:rFonts w:ascii="arial" w:hAnsi="arial"/>
          <w:sz w:val="20"/>
        </w:rPr>
      </w:pPr>
      <w:r>
        <w:rPr>
          <w:rFonts w:ascii="arial" w:hAnsi="arial"/>
          <w:sz w:val="20"/>
        </w:rPr>
        <w:t xml:space="preserve">requirements. </w:t>
      </w:r>
    </w:p>
    <w:p>
      <w:pPr>
        <w:pStyle w:val="TextBody"/>
        <w:bidi w:val="0"/>
        <w:spacing w:before="240" w:after="0"/>
        <w:jc w:val="left"/>
        <w:rPr>
          <w:rFonts w:ascii="arial" w:hAnsi="arial"/>
          <w:sz w:val="20"/>
        </w:rPr>
      </w:pPr>
      <w:r>
        <w:rPr>
          <w:rFonts w:ascii="arial" w:hAnsi="arial"/>
          <w:sz w:val="20"/>
        </w:rPr>
        <w:t xml:space="preserve">In addition to the foregoing policy provisions applicable to our executive officers, directors and other designated employees, our Insider Trading Policy governs the processes by which the Company repurchases its securities. We believe that our insider trading policies and repurchase procedures are reasonably designed to promote compliance with insider trading laws, rules and regulations and NYSE listing standards. The foregoing summary of our Insider Trading Policy is not complete and is qualified by reference to the full text of our Insider Trading policy, a copy of which is included as Exhibit 19 to our Annual Report on Form </w:t>
      </w:r>
    </w:p>
    <w:p>
      <w:pPr>
        <w:pStyle w:val="TextBody"/>
        <w:bidi w:val="0"/>
        <w:spacing w:before="240" w:after="0"/>
        <w:jc w:val="left"/>
        <w:rPr>
          <w:rFonts w:ascii="arial" w:hAnsi="arial"/>
          <w:spacing w:val="0"/>
          <w:sz w:val="20"/>
        </w:rPr>
      </w:pPr>
      <w:r>
        <w:rPr>
          <w:rFonts w:ascii="arial" w:hAnsi="arial"/>
          <w:spacing w:val="0"/>
          <w:sz w:val="20"/>
        </w:rPr>
        <w:t>10-K</w:t>
      </w:r>
    </w:p>
    <w:p>
      <w:pPr>
        <w:pStyle w:val="TextBody"/>
        <w:bidi w:val="0"/>
        <w:spacing w:before="240" w:after="0"/>
        <w:jc w:val="left"/>
        <w:rPr>
          <w:rFonts w:ascii="arial" w:hAnsi="arial"/>
          <w:sz w:val="20"/>
        </w:rPr>
      </w:pPr>
      <w:r>
        <w:rPr>
          <w:rFonts w:ascii="arial" w:hAnsi="arial"/>
          <w:sz w:val="20"/>
        </w:rPr>
        <w:t xml:space="preserve">for the 2024 fiscal year. </w:t>
      </w:r>
    </w:p>
    <w:p>
      <w:pPr>
        <w:pStyle w:val="TextBody"/>
        <w:bidi w:val="0"/>
        <w:spacing w:before="0" w:after="0"/>
        <w:jc w:val="left"/>
        <w:rPr/>
      </w:pPr>
      <w:r>
        <w:rPr/>
        <w:t> </w:t>
      </w:r>
    </w:p>
    <w:p>
      <w:pPr>
        <w:pStyle w:val="TextBody"/>
        <w:bidi w:val="0"/>
        <w:spacing w:lineRule="atLeast" w:line="142" w:before="0" w:after="40"/>
        <w:jc w:val="left"/>
        <w:rPr>
          <w:bdr w:val="single" w:sz="2" w:space="1" w:color="1070B8"/>
        </w:rPr>
      </w:pPr>
      <w:r>
        <w:rPr>
          <w:bdr w:val="single" w:sz="2" w:space="1" w:color="1070B8"/>
        </w:rPr>
        <w:t> </w:t>
      </w:r>
    </w:p>
    <w:p>
      <w:pPr>
        <w:pStyle w:val="TextBody"/>
        <w:bidi w:val="0"/>
        <w:spacing w:before="0" w:after="0"/>
        <w:jc w:val="center"/>
        <w:rPr>
          <w:rFonts w:ascii="arial" w:hAnsi="arial"/>
          <w:b/>
          <w:color w:val="1070B8"/>
          <w:spacing w:val="0"/>
          <w:sz w:val="20"/>
        </w:rPr>
      </w:pPr>
      <w:r>
        <w:rPr>
          <w:rFonts w:ascii="arial" w:hAnsi="arial"/>
          <w:b/>
          <w:color w:val="1070B8"/>
          <w:spacing w:val="0"/>
          <w:sz w:val="20"/>
        </w:rPr>
        <w:t xml:space="preserve">IBP 2025 Proxy Statement </w:t>
      </w:r>
    </w:p>
    <w:p>
      <w:pPr>
        <w:pStyle w:val="TextBody"/>
        <w:bidi w:val="0"/>
        <w:spacing w:before="80" w:after="0"/>
        <w:jc w:val="center"/>
        <w:rPr>
          <w:rFonts w:ascii="arial" w:hAnsi="arial"/>
          <w:color w:val="1070B8"/>
          <w:spacing w:val="0"/>
          <w:sz w:val="20"/>
        </w:rPr>
      </w:pPr>
      <w:r>
        <w:rPr>
          <w:rFonts w:ascii="arial" w:hAnsi="arial"/>
          <w:color w:val="1070B8"/>
          <w:spacing w:val="0"/>
          <w:sz w:val="20"/>
        </w:rPr>
        <w:t xml:space="preserve">Corporate Governance </w:t>
      </w:r>
    </w:p>
    <w:p>
      <w:pPr>
        <w:pStyle w:val="TextBody"/>
        <w:bidi w:val="0"/>
        <w:spacing w:before="0" w:after="0"/>
        <w:jc w:val="left"/>
        <w:rPr/>
      </w:pPr>
      <w:r>
        <w:rPr/>
        <w:t> </w:t>
      </w:r>
    </w:p>
    <w:p>
      <w:pPr>
        <w:pStyle w:val="TextBody"/>
        <w:bidi w:val="0"/>
        <w:jc w:val="center"/>
        <w:rPr>
          <w:rFonts w:ascii="arial" w:hAnsi="arial"/>
          <w:color w:val="1070B8"/>
          <w:spacing w:val="0"/>
          <w:sz w:val="20"/>
        </w:rPr>
      </w:pPr>
      <w:r>
        <w:rPr>
          <w:rFonts w:ascii="arial" w:hAnsi="arial"/>
          <w:color w:val="1070B8"/>
          <w:spacing w:val="0"/>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37" w:name="toc849638_39"/>
      <w:bookmarkEnd w:id="37"/>
      <w:r>
        <w:rPr>
          <w:rFonts w:ascii="arial" w:hAnsi="arial"/>
          <w:b/>
          <w:color w:val="1F295C"/>
          <w:sz w:val="24"/>
        </w:rPr>
        <w:t xml:space="preserve">Stockholder Engagement </w:t>
      </w:r>
    </w:p>
    <w:p>
      <w:pPr>
        <w:pStyle w:val="TextBody"/>
        <w:bidi w:val="0"/>
        <w:spacing w:before="240" w:after="0"/>
        <w:jc w:val="left"/>
        <w:rPr>
          <w:rFonts w:ascii="arial" w:hAnsi="arial"/>
          <w:sz w:val="20"/>
        </w:rPr>
      </w:pPr>
      <w:r>
        <w:rPr>
          <w:rFonts w:ascii="arial" w:hAnsi="arial"/>
          <w:sz w:val="20"/>
        </w:rPr>
        <w:t xml:space="preserve">Developing and fostering long term relationships with our stockholders is a key priority. We actively engage with our stockholders regarding our business strategy, operations, industry trends and conditions, growth opportunities, financial performance, climate and environment issues, workplace culture and other issues. Throughout the year, members of our Investor Relations team and management seek input and feedback through telephone and video calls and in-person meetings with our stockholders to stay informed on their perspectives and to increase their understanding of our business and industry. In 2024, we engaged with over 350 investment professionals representing approximately 200 investment firms, with more than one engagement throughout the year with many of those individuals. Feedback received from our stockholder engagement activities informs our decision-making on our business strategy, capital allocation, corporate responsibility, executive compensation, and ESG initiatives. Recent stockholder engagement topics have included residential end market demand; core business operations, including material availability, material cost and installed service pricing trends; economic policy changes including U.S. fiscal, monetary, trade and immigration policies; and supporting our employees and our communities through our Foundation and charitable giving. </w:t>
      </w:r>
    </w:p>
    <w:p>
      <w:pPr>
        <w:pStyle w:val="TextBody"/>
        <w:bidi w:val="0"/>
        <w:spacing w:before="240" w:after="0"/>
        <w:jc w:val="left"/>
        <w:rPr>
          <w:rFonts w:ascii="arial" w:hAnsi="arial"/>
          <w:sz w:val="20"/>
        </w:rPr>
      </w:pPr>
      <w:r>
        <w:rPr>
          <w:rFonts w:ascii="arial" w:hAnsi="arial"/>
          <w:sz w:val="20"/>
        </w:rPr>
        <w:t xml:space="preserve">During 2024, senior executives participated in 11 conferences and two non-deal roadshows. We engaged with approximately 65% of institutional stockholders who held at least 1% of our shares, including 60% of our top 10 institutional stockholders based on percentage of ownership of our common stock. </w:t>
      </w:r>
    </w:p>
    <w:p>
      <w:pPr>
        <w:pStyle w:val="TextBody"/>
        <w:bidi w:val="0"/>
        <w:spacing w:before="240" w:after="0"/>
        <w:jc w:val="left"/>
        <w:rPr>
          <w:rFonts w:ascii="arial" w:hAnsi="arial"/>
          <w:b/>
          <w:color w:val="1F295C"/>
          <w:sz w:val="24"/>
        </w:rPr>
      </w:pPr>
      <w:bookmarkStart w:id="38" w:name="toc849638_40"/>
      <w:bookmarkEnd w:id="38"/>
      <w:r>
        <w:rPr>
          <w:rFonts w:ascii="arial" w:hAnsi="arial"/>
          <w:b/>
          <w:color w:val="1F295C"/>
          <w:sz w:val="24"/>
        </w:rPr>
        <w:t xml:space="preserve">Communication with Directors </w:t>
      </w:r>
    </w:p>
    <w:p>
      <w:pPr>
        <w:pStyle w:val="TextBody"/>
        <w:bidi w:val="0"/>
        <w:spacing w:before="240" w:after="0"/>
        <w:jc w:val="left"/>
        <w:rPr>
          <w:rFonts w:ascii="arial" w:hAnsi="arial"/>
          <w:sz w:val="20"/>
        </w:rPr>
      </w:pPr>
      <w:r>
        <w:rPr>
          <w:rFonts w:ascii="arial" w:hAnsi="arial"/>
          <w:sz w:val="20"/>
        </w:rPr>
        <w:t xml:space="preserve">Stockholders and other interested parties wishing to communicate with the Board of Directors or to any particular director, including the Presiding Independent Director, may do so by writing to the following address: c/o Corporate Secretary, Installed Building Products, Inc., 495 South High Street, Suite 50, Columbus, Ohio 43215. The Board has directed the Corporate Secretary’s office to forward to the appropriate director(s) all correspondence, except for items unrelated to the functions of the Board, business solicitations and advertisements. </w:t>
      </w:r>
    </w:p>
    <w:p>
      <w:pPr>
        <w:pStyle w:val="TextBody"/>
        <w:bidi w:val="0"/>
        <w:spacing w:before="240" w:after="0"/>
        <w:jc w:val="left"/>
        <w:rPr>
          <w:rFonts w:ascii="arial" w:hAnsi="arial"/>
          <w:b/>
          <w:color w:val="1F295C"/>
          <w:sz w:val="24"/>
        </w:rPr>
      </w:pPr>
      <w:bookmarkStart w:id="39" w:name="toc849638_41"/>
      <w:bookmarkEnd w:id="39"/>
      <w:r>
        <w:rPr>
          <w:rFonts w:ascii="arial" w:hAnsi="arial"/>
          <w:b/>
          <w:color w:val="1F295C"/>
          <w:sz w:val="24"/>
        </w:rPr>
        <w:t xml:space="preserve">Stockholder Nominations of Director Candidates </w:t>
      </w:r>
    </w:p>
    <w:p>
      <w:pPr>
        <w:pStyle w:val="TextBody"/>
        <w:bidi w:val="0"/>
        <w:spacing w:before="240" w:after="0"/>
        <w:jc w:val="left"/>
        <w:rPr>
          <w:rFonts w:ascii="arial" w:hAnsi="arial"/>
          <w:sz w:val="20"/>
        </w:rPr>
      </w:pPr>
      <w:r>
        <w:rPr>
          <w:rFonts w:ascii="arial" w:hAnsi="arial"/>
          <w:sz w:val="20"/>
        </w:rPr>
        <w:t>In identifying potential candidates for Board membership, the NCG Committee may rely on recommendations from directors, stockholders, management and others. The NCG Committee reviews all candidates in the same manner, regardless of the source of the recommendation. Stockholders who wish to recommend or nominate a director candidate must comply with certain procedures. If you desire to nominate a director candidate for the 2026 Annual Meeting of Stockholders, you must comply with the procedures for nomination set forth in “</w:t>
      </w:r>
      <w:r>
        <w:rPr>
          <w:rFonts w:ascii="arial" w:hAnsi="arial"/>
          <w:i/>
          <w:sz w:val="20"/>
        </w:rPr>
        <w:t>Stockholder Proposals for the 2026 Annual Meeting</w:t>
      </w:r>
      <w:r>
        <w:rPr>
          <w:rFonts w:ascii="arial" w:hAnsi="arial"/>
          <w:sz w:val="20"/>
        </w:rPr>
        <w:t xml:space="preserve">.” Stockholders may recommend a director candidate for consideration at any time by giving written notice to our Corporate Secretary at Installed Building Products, Inc., 495 South High Street, Suite 50, Columbus, Ohio 43215. The recommendation must include the candidate’s name, age, business address, residence address and principal occupation or employment, as well as a description of the candidate’s qualifications, attributes and other skills. The NCG Committee may require additional information before considering the candidate. These procedural requirements are intended to ensure that the NCG Committee has sufficient time and a basis upon which to assess potential director candidates and are not intended to discourage or interfere with stockholder nominations.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Governance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40" w:name="toc849638_42"/>
      <w:bookmarkEnd w:id="40"/>
      <w:r>
        <w:rPr>
          <w:rFonts w:ascii="arial" w:hAnsi="arial"/>
          <w:b/>
          <w:color w:val="1F295C"/>
          <w:sz w:val="24"/>
        </w:rPr>
        <w:t xml:space="preserve">Corporate Governance Materials </w:t>
      </w:r>
    </w:p>
    <w:p>
      <w:pPr>
        <w:pStyle w:val="TextBody"/>
        <w:bidi w:val="0"/>
        <w:spacing w:before="240" w:after="0"/>
        <w:jc w:val="left"/>
        <w:rPr>
          <w:rFonts w:ascii="arial" w:hAnsi="arial"/>
          <w:sz w:val="20"/>
        </w:rPr>
      </w:pPr>
      <w:r>
        <w:rPr>
          <w:rFonts w:ascii="arial" w:hAnsi="arial"/>
          <w:sz w:val="20"/>
        </w:rPr>
        <w:t xml:space="preserve">The following corporate governance materials are published on our website at </w:t>
      </w:r>
    </w:p>
    <w:p>
      <w:pPr>
        <w:pStyle w:val="TextBody"/>
        <w:bidi w:val="0"/>
        <w:spacing w:before="0" w:after="0"/>
        <w:jc w:val="left"/>
        <w:rPr>
          <w:rFonts w:ascii="arial" w:hAnsi="arial"/>
          <w:sz w:val="20"/>
        </w:rPr>
      </w:pPr>
      <w:r>
        <w:rPr>
          <w:rFonts w:ascii="arial" w:hAnsi="arial"/>
          <w:i/>
          <w:color w:val="1070B8"/>
          <w:sz w:val="20"/>
          <w:u w:val="single"/>
        </w:rPr>
        <w:t>http://investors.installedbuildingproducts.com/corporate-governance</w:t>
      </w:r>
      <w:r>
        <w:rPr>
          <w:rFonts w:ascii="arial" w:hAnsi="arial"/>
          <w:sz w:val="20"/>
        </w:rPr>
        <w:t xml:space="preserve">: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200"/>
        <w:gridCol w:w="60"/>
        <w:gridCol w:w="22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left"/>
              <w:rPr>
                <w:rFonts w:ascii="arial" w:hAnsi="arial"/>
                <w:sz w:val="20"/>
              </w:rPr>
            </w:pPr>
            <w:r>
              <w:rPr>
                <w:rFonts w:ascii="arial" w:hAnsi="arial"/>
                <w:sz w:val="20"/>
              </w:rPr>
              <w:t xml:space="preserve">Audit Committee Charter </w:t>
            </w:r>
          </w:p>
        </w:tc>
      </w:tr>
    </w:tbl>
    <w:tbl>
      <w:tblPr>
        <w:tblW w:w="3160" w:type="dxa"/>
        <w:jc w:val="left"/>
        <w:tblInd w:w="0" w:type="dxa"/>
        <w:tblLayout w:type="fixed"/>
        <w:tblCellMar>
          <w:top w:w="0" w:type="dxa"/>
          <w:left w:w="0" w:type="dxa"/>
          <w:bottom w:w="0" w:type="dxa"/>
          <w:right w:w="0" w:type="dxa"/>
        </w:tblCellMar>
      </w:tblPr>
      <w:tblGrid>
        <w:gridCol w:w="75"/>
        <w:gridCol w:w="200"/>
        <w:gridCol w:w="60"/>
        <w:gridCol w:w="28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left"/>
              <w:rPr>
                <w:rFonts w:ascii="arial" w:hAnsi="arial"/>
                <w:sz w:val="20"/>
              </w:rPr>
            </w:pPr>
            <w:r>
              <w:rPr>
                <w:rFonts w:ascii="arial" w:hAnsi="arial"/>
                <w:sz w:val="20"/>
              </w:rPr>
              <w:t xml:space="preserve">Amended and Restated Bylaws </w:t>
            </w:r>
          </w:p>
        </w:tc>
      </w:tr>
    </w:tbl>
    <w:tbl>
      <w:tblPr>
        <w:tblW w:w="4825" w:type="dxa"/>
        <w:jc w:val="left"/>
        <w:tblInd w:w="0" w:type="dxa"/>
        <w:tblLayout w:type="fixed"/>
        <w:tblCellMar>
          <w:top w:w="0" w:type="dxa"/>
          <w:left w:w="0" w:type="dxa"/>
          <w:bottom w:w="0" w:type="dxa"/>
          <w:right w:w="0" w:type="dxa"/>
        </w:tblCellMar>
      </w:tblPr>
      <w:tblGrid>
        <w:gridCol w:w="75"/>
        <w:gridCol w:w="200"/>
        <w:gridCol w:w="60"/>
        <w:gridCol w:w="44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arial" w:hAnsi="arial"/>
                <w:sz w:val="20"/>
              </w:rPr>
            </w:pPr>
            <w:r>
              <w:rPr>
                <w:rFonts w:ascii="arial" w:hAnsi="arial"/>
                <w:sz w:val="20"/>
              </w:rPr>
              <w:t xml:space="preserve">Amended and Restated Certificate of Incorporation </w:t>
            </w:r>
          </w:p>
        </w:tc>
      </w:tr>
    </w:tbl>
    <w:tbl>
      <w:tblPr>
        <w:tblW w:w="3745" w:type="dxa"/>
        <w:jc w:val="left"/>
        <w:tblInd w:w="0" w:type="dxa"/>
        <w:tblLayout w:type="fixed"/>
        <w:tblCellMar>
          <w:top w:w="0" w:type="dxa"/>
          <w:left w:w="0" w:type="dxa"/>
          <w:bottom w:w="0" w:type="dxa"/>
          <w:right w:w="0" w:type="dxa"/>
        </w:tblCellMar>
      </w:tblPr>
      <w:tblGrid>
        <w:gridCol w:w="75"/>
        <w:gridCol w:w="200"/>
        <w:gridCol w:w="60"/>
        <w:gridCol w:w="34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jc w:val="left"/>
              <w:rPr>
                <w:rFonts w:ascii="arial" w:hAnsi="arial"/>
                <w:sz w:val="20"/>
              </w:rPr>
            </w:pPr>
            <w:r>
              <w:rPr>
                <w:rFonts w:ascii="arial" w:hAnsi="arial"/>
                <w:sz w:val="20"/>
              </w:rPr>
              <w:t xml:space="preserve">Code of Business Conduct and Ethics </w:t>
            </w:r>
          </w:p>
        </w:tc>
      </w:tr>
    </w:tbl>
    <w:tbl>
      <w:tblPr>
        <w:tblW w:w="2530" w:type="dxa"/>
        <w:jc w:val="left"/>
        <w:tblInd w:w="0" w:type="dxa"/>
        <w:tblLayout w:type="fixed"/>
        <w:tblCellMar>
          <w:top w:w="0" w:type="dxa"/>
          <w:left w:w="0" w:type="dxa"/>
          <w:bottom w:w="0" w:type="dxa"/>
          <w:right w:w="0" w:type="dxa"/>
        </w:tblCellMar>
      </w:tblPr>
      <w:tblGrid>
        <w:gridCol w:w="75"/>
        <w:gridCol w:w="200"/>
        <w:gridCol w:w="60"/>
        <w:gridCol w:w="21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left"/>
              <w:rPr>
                <w:rFonts w:ascii="arial" w:hAnsi="arial"/>
                <w:sz w:val="20"/>
              </w:rPr>
            </w:pPr>
            <w:r>
              <w:rPr>
                <w:rFonts w:ascii="arial" w:hAnsi="arial"/>
                <w:sz w:val="20"/>
              </w:rPr>
              <w:t xml:space="preserve">CHC Committee Charter </w:t>
            </w:r>
          </w:p>
        </w:tc>
      </w:tr>
    </w:tbl>
    <w:tbl>
      <w:tblPr>
        <w:tblW w:w="3355" w:type="dxa"/>
        <w:jc w:val="left"/>
        <w:tblInd w:w="0" w:type="dxa"/>
        <w:tblLayout w:type="fixed"/>
        <w:tblCellMar>
          <w:top w:w="0" w:type="dxa"/>
          <w:left w:w="0" w:type="dxa"/>
          <w:bottom w:w="0" w:type="dxa"/>
          <w:right w:w="0" w:type="dxa"/>
        </w:tblCellMar>
      </w:tblPr>
      <w:tblGrid>
        <w:gridCol w:w="75"/>
        <w:gridCol w:w="200"/>
        <w:gridCol w:w="60"/>
        <w:gridCol w:w="30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arial" w:hAnsi="arial"/>
                <w:sz w:val="20"/>
              </w:rPr>
            </w:pPr>
            <w:r>
              <w:rPr>
                <w:rFonts w:ascii="arial" w:hAnsi="arial"/>
                <w:sz w:val="20"/>
              </w:rPr>
              <w:t xml:space="preserve">Corporate Governance Guidelines </w:t>
            </w:r>
          </w:p>
        </w:tc>
      </w:tr>
    </w:tbl>
    <w:tbl>
      <w:tblPr>
        <w:tblW w:w="3040" w:type="dxa"/>
        <w:jc w:val="left"/>
        <w:tblInd w:w="0" w:type="dxa"/>
        <w:tblLayout w:type="fixed"/>
        <w:tblCellMar>
          <w:top w:w="0" w:type="dxa"/>
          <w:left w:w="0" w:type="dxa"/>
          <w:bottom w:w="0" w:type="dxa"/>
          <w:right w:w="0" w:type="dxa"/>
        </w:tblCellMar>
      </w:tblPr>
      <w:tblGrid>
        <w:gridCol w:w="75"/>
        <w:gridCol w:w="200"/>
        <w:gridCol w:w="60"/>
        <w:gridCol w:w="27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0"/>
              <w:jc w:val="left"/>
              <w:rPr>
                <w:rFonts w:ascii="arial" w:hAnsi="arial"/>
                <w:sz w:val="20"/>
              </w:rPr>
            </w:pPr>
            <w:r>
              <w:rPr>
                <w:rFonts w:ascii="arial" w:hAnsi="arial"/>
                <w:sz w:val="20"/>
              </w:rPr>
              <w:t xml:space="preserve">Disclosure Committee Charter </w:t>
            </w:r>
          </w:p>
        </w:tc>
      </w:tr>
    </w:tbl>
    <w:tbl>
      <w:tblPr>
        <w:tblW w:w="3805" w:type="dxa"/>
        <w:jc w:val="left"/>
        <w:tblInd w:w="0" w:type="dxa"/>
        <w:tblLayout w:type="fixed"/>
        <w:tblCellMar>
          <w:top w:w="0" w:type="dxa"/>
          <w:left w:w="0" w:type="dxa"/>
          <w:bottom w:w="0" w:type="dxa"/>
          <w:right w:w="0" w:type="dxa"/>
        </w:tblCellMar>
      </w:tblPr>
      <w:tblGrid>
        <w:gridCol w:w="75"/>
        <w:gridCol w:w="200"/>
        <w:gridCol w:w="60"/>
        <w:gridCol w:w="34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left"/>
              <w:rPr>
                <w:rFonts w:ascii="arial" w:hAnsi="arial"/>
                <w:sz w:val="20"/>
              </w:rPr>
            </w:pPr>
            <w:r>
              <w:rPr>
                <w:rFonts w:ascii="arial" w:hAnsi="arial"/>
                <w:sz w:val="20"/>
              </w:rPr>
              <w:t xml:space="preserve">Insider Trading Policy – All Employees </w:t>
            </w:r>
          </w:p>
        </w:tc>
      </w:tr>
    </w:tbl>
    <w:tbl>
      <w:tblPr>
        <w:tblW w:w="4045" w:type="dxa"/>
        <w:jc w:val="left"/>
        <w:tblInd w:w="0" w:type="dxa"/>
        <w:tblLayout w:type="fixed"/>
        <w:tblCellMar>
          <w:top w:w="0" w:type="dxa"/>
          <w:left w:w="0" w:type="dxa"/>
          <w:bottom w:w="0" w:type="dxa"/>
          <w:right w:w="0" w:type="dxa"/>
        </w:tblCellMar>
      </w:tblPr>
      <w:tblGrid>
        <w:gridCol w:w="75"/>
        <w:gridCol w:w="200"/>
        <w:gridCol w:w="60"/>
        <w:gridCol w:w="37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rFonts w:ascii="arial" w:hAnsi="arial"/>
                <w:sz w:val="20"/>
              </w:rPr>
            </w:pPr>
            <w:r>
              <w:rPr>
                <w:rFonts w:ascii="arial" w:hAnsi="arial"/>
                <w:sz w:val="20"/>
              </w:rPr>
              <w:t xml:space="preserve">Insider Trading Policy – Covered Persons </w:t>
            </w:r>
          </w:p>
        </w:tc>
      </w:tr>
    </w:tbl>
    <w:tbl>
      <w:tblPr>
        <w:tblW w:w="3100" w:type="dxa"/>
        <w:jc w:val="left"/>
        <w:tblInd w:w="0" w:type="dxa"/>
        <w:tblLayout w:type="fixed"/>
        <w:tblCellMar>
          <w:top w:w="0" w:type="dxa"/>
          <w:left w:w="0" w:type="dxa"/>
          <w:bottom w:w="0" w:type="dxa"/>
          <w:right w:w="0" w:type="dxa"/>
        </w:tblCellMar>
      </w:tblPr>
      <w:tblGrid>
        <w:gridCol w:w="75"/>
        <w:gridCol w:w="200"/>
        <w:gridCol w:w="60"/>
        <w:gridCol w:w="27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rFonts w:ascii="arial" w:hAnsi="arial"/>
                <w:sz w:val="20"/>
              </w:rPr>
            </w:pPr>
            <w:r>
              <w:rPr>
                <w:rFonts w:ascii="arial" w:hAnsi="arial"/>
                <w:sz w:val="20"/>
              </w:rPr>
              <w:t xml:space="preserve">Mandatory Recoupment Policy </w:t>
            </w:r>
          </w:p>
        </w:tc>
      </w:tr>
    </w:tbl>
    <w:tbl>
      <w:tblPr>
        <w:tblW w:w="2545" w:type="dxa"/>
        <w:jc w:val="left"/>
        <w:tblInd w:w="0" w:type="dxa"/>
        <w:tblLayout w:type="fixed"/>
        <w:tblCellMar>
          <w:top w:w="0" w:type="dxa"/>
          <w:left w:w="0" w:type="dxa"/>
          <w:bottom w:w="0" w:type="dxa"/>
          <w:right w:w="0" w:type="dxa"/>
        </w:tblCellMar>
      </w:tblPr>
      <w:tblGrid>
        <w:gridCol w:w="75"/>
        <w:gridCol w:w="200"/>
        <w:gridCol w:w="60"/>
        <w:gridCol w:w="22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rFonts w:ascii="arial" w:hAnsi="arial"/>
                <w:sz w:val="20"/>
              </w:rPr>
            </w:pPr>
            <w:r>
              <w:rPr>
                <w:rFonts w:ascii="arial" w:hAnsi="arial"/>
                <w:sz w:val="20"/>
              </w:rPr>
              <w:t xml:space="preserve">NCG Committee Charter </w:t>
            </w:r>
          </w:p>
        </w:tc>
      </w:tr>
    </w:tbl>
    <w:tbl>
      <w:tblPr>
        <w:tblW w:w="1690" w:type="dxa"/>
        <w:jc w:val="left"/>
        <w:tblInd w:w="0" w:type="dxa"/>
        <w:tblLayout w:type="fixed"/>
        <w:tblCellMar>
          <w:top w:w="0" w:type="dxa"/>
          <w:left w:w="0" w:type="dxa"/>
          <w:bottom w:w="0" w:type="dxa"/>
          <w:right w:w="0" w:type="dxa"/>
        </w:tblCellMar>
      </w:tblPr>
      <w:tblGrid>
        <w:gridCol w:w="75"/>
        <w:gridCol w:w="200"/>
        <w:gridCol w:w="60"/>
        <w:gridCol w:w="13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rFonts w:ascii="arial" w:hAnsi="arial"/>
                <w:sz w:val="20"/>
              </w:rPr>
            </w:pPr>
            <w:r>
              <w:rPr>
                <w:rFonts w:ascii="arial" w:hAnsi="arial"/>
                <w:sz w:val="20"/>
              </w:rPr>
              <w:t xml:space="preserve">Reg FD Policy </w:t>
            </w:r>
          </w:p>
        </w:tc>
      </w:tr>
    </w:tbl>
    <w:tbl>
      <w:tblPr>
        <w:tblW w:w="3400" w:type="dxa"/>
        <w:jc w:val="left"/>
        <w:tblInd w:w="0" w:type="dxa"/>
        <w:tblLayout w:type="fixed"/>
        <w:tblCellMar>
          <w:top w:w="0" w:type="dxa"/>
          <w:left w:w="0" w:type="dxa"/>
          <w:bottom w:w="0" w:type="dxa"/>
          <w:right w:w="0" w:type="dxa"/>
        </w:tblCellMar>
      </w:tblPr>
      <w:tblGrid>
        <w:gridCol w:w="75"/>
        <w:gridCol w:w="200"/>
        <w:gridCol w:w="60"/>
        <w:gridCol w:w="30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arial" w:hAnsi="arial"/>
                <w:sz w:val="20"/>
              </w:rPr>
            </w:pPr>
            <w:r>
              <w:rPr>
                <w:rFonts w:ascii="arial" w:hAnsi="arial"/>
                <w:sz w:val="20"/>
              </w:rPr>
              <w:t xml:space="preserve">Related Party Transactions Policy </w:t>
            </w:r>
          </w:p>
        </w:tc>
      </w:tr>
    </w:tbl>
    <w:tbl>
      <w:tblPr>
        <w:tblW w:w="2230" w:type="dxa"/>
        <w:jc w:val="left"/>
        <w:tblInd w:w="0" w:type="dxa"/>
        <w:tblLayout w:type="fixed"/>
        <w:tblCellMar>
          <w:top w:w="0" w:type="dxa"/>
          <w:left w:w="0" w:type="dxa"/>
          <w:bottom w:w="0" w:type="dxa"/>
          <w:right w:w="0" w:type="dxa"/>
        </w:tblCellMar>
      </w:tblPr>
      <w:tblGrid>
        <w:gridCol w:w="75"/>
        <w:gridCol w:w="200"/>
        <w:gridCol w:w="60"/>
        <w:gridCol w:w="18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rFonts w:ascii="arial" w:hAnsi="arial"/>
                <w:sz w:val="20"/>
              </w:rPr>
            </w:pPr>
            <w:r>
              <w:rPr>
                <w:rFonts w:ascii="arial" w:hAnsi="arial"/>
                <w:sz w:val="20"/>
              </w:rPr>
              <w:t xml:space="preserve">Whistleblower Policy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Governance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bookmarkStart w:id="41" w:name="toc849638_43"/>
      <w:bookmarkEnd w:id="41"/>
      <w:r>
        <w:rPr>
          <w:rFonts w:ascii="Times New Roman" w:hAnsi="Times New Roman"/>
          <w:b/>
          <w:color w:val="1070B8"/>
          <w:sz w:val="44"/>
        </w:rPr>
        <w:t xml:space="preserve">CORPORATE RESPONSIBILITY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sz w:val="20"/>
        </w:rPr>
        <w:t xml:space="preserve">We recognize the importance of environmental and social issues and their impact on our stockholders, our customers, our employees and our communities. Good corporate citizenship is important to us and we are committed to investing in the communities where we live and work. We integrate corporate responsibility every day through making buildings energy efficient, providing for the health, safety and welfare of our employees, advocating volunteerism and committing to philanthropy. </w:t>
      </w:r>
    </w:p>
    <w:p>
      <w:pPr>
        <w:pStyle w:val="TextBody"/>
        <w:bidi w:val="0"/>
        <w:spacing w:before="240" w:after="0"/>
        <w:jc w:val="left"/>
        <w:rPr>
          <w:rFonts w:ascii="arial" w:hAnsi="arial"/>
          <w:sz w:val="20"/>
        </w:rPr>
      </w:pPr>
      <w:r>
        <w:rPr>
          <w:rFonts w:ascii="arial" w:hAnsi="arial"/>
          <w:sz w:val="20"/>
        </w:rPr>
        <w:t xml:space="preserve">In 2022, we named Jason R. Niswonger, one of our executive officers, as our Chief Administrative and Sustainability Officer. Mr. Niswonger is responsible for leading and coordinating our ESG initiatives. We released our annual Sustainability Report in November 2024, which can be found on our website at </w:t>
      </w:r>
      <w:r>
        <w:rPr>
          <w:rFonts w:ascii="arial" w:hAnsi="arial"/>
          <w:i/>
          <w:color w:val="1070B8"/>
          <w:sz w:val="20"/>
          <w:u w:val="single"/>
        </w:rPr>
        <w:t>https://installedbuildingproducts.com/sustainability/</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The NCG Committee is responsible for the oversight of our ESG programs, except to the extent reserved to the full Board or another Board committee and directly oversees our sustainability programs. The CHC Committee oversees our human capital management policies and practices, including inclusion and belonging, talent development initiatives, employee recruitment and retention and employee compensation practices, and oversees our Foundation and corporate giving activities. The Board and its committees receive periodic reports on sustainability, employee programs and initiatives and Foundation and corporate giving initiatives from Company team leaders at regular meetings. </w:t>
      </w:r>
    </w:p>
    <w:p>
      <w:pPr>
        <w:pStyle w:val="TextBody"/>
        <w:bidi w:val="0"/>
        <w:spacing w:before="240" w:after="0"/>
        <w:jc w:val="left"/>
        <w:rPr>
          <w:rFonts w:ascii="arial" w:hAnsi="arial"/>
          <w:sz w:val="20"/>
        </w:rPr>
      </w:pPr>
      <w:r>
        <w:rPr>
          <w:rFonts w:ascii="arial" w:hAnsi="arial"/>
          <w:sz w:val="20"/>
        </w:rPr>
        <w:t xml:space="preserve">We strive to make a positive impact on our environment, our people and our communities. Our efforts are focused on three pillars: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49"/>
        <w:gridCol w:w="60"/>
        <w:gridCol w:w="274"/>
        <w:gridCol w:w="60"/>
        <w:gridCol w:w="2335"/>
        <w:gridCol w:w="60"/>
        <w:gridCol w:w="274"/>
        <w:gridCol w:w="60"/>
        <w:gridCol w:w="2633"/>
      </w:tblGrid>
      <w:tr>
        <w:trPr/>
        <w:tc>
          <w:tcPr>
            <w:tcW w:w="4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r>
      <w:tr>
        <w:trPr/>
        <w:tc>
          <w:tcPr>
            <w:tcW w:w="4449" w:type="dxa"/>
            <w:tcBorders>
              <w:bottom w:val="single" w:sz="16" w:space="0" w:color="2E75B4"/>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2E75B4"/>
                <w:sz w:val="22"/>
              </w:rPr>
            </w:pPr>
            <w:r>
              <w:rPr>
                <w:rFonts w:ascii="arial" w:hAnsi="arial"/>
                <w:b/>
                <w:color w:val="2E75B4"/>
                <w:sz w:val="22"/>
              </w:rPr>
              <w:t>Going Beyond the Buildings</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center"/>
              <w:rPr/>
            </w:pPr>
            <w:r>
              <w:rPr/>
              <w:t>  </w:t>
            </w:r>
          </w:p>
        </w:tc>
        <w:tc>
          <w:tcPr>
            <w:tcW w:w="60" w:type="dxa"/>
            <w:tcBorders>
              <w:bottom w:val="single" w:sz="16" w:space="0" w:color="2E75B4"/>
            </w:tcBorders>
            <w:tcMar>
              <w:bottom w:w="28" w:type="dxa"/>
            </w:tcMar>
            <w:vAlign w:val="center"/>
          </w:tcPr>
          <w:p>
            <w:pPr>
              <w:pStyle w:val="TableContents"/>
              <w:bidi w:val="0"/>
              <w:spacing w:before="0" w:after="283"/>
              <w:jc w:val="left"/>
              <w:rPr/>
            </w:pPr>
            <w:r>
              <w:rPr/>
              <w:t> </w:t>
            </w:r>
          </w:p>
        </w:tc>
        <w:tc>
          <w:tcPr>
            <w:tcW w:w="2335" w:type="dxa"/>
            <w:tcBorders>
              <w:bottom w:val="single" w:sz="16" w:space="0" w:color="2E75B4"/>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2E75B4"/>
                <w:sz w:val="22"/>
              </w:rPr>
            </w:pPr>
            <w:r>
              <w:rPr>
                <w:rFonts w:ascii="arial" w:hAnsi="arial"/>
                <w:b/>
                <w:color w:val="2E75B4"/>
                <w:sz w:val="22"/>
              </w:rPr>
              <w:t>Committing to Our People</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center"/>
              <w:rPr/>
            </w:pPr>
            <w:r>
              <w:rPr/>
              <w:t>  </w:t>
            </w:r>
          </w:p>
        </w:tc>
        <w:tc>
          <w:tcPr>
            <w:tcW w:w="60" w:type="dxa"/>
            <w:tcBorders>
              <w:bottom w:val="single" w:sz="16" w:space="0" w:color="2E75B4"/>
            </w:tcBorders>
            <w:tcMar>
              <w:bottom w:w="28" w:type="dxa"/>
            </w:tcMar>
            <w:vAlign w:val="center"/>
          </w:tcPr>
          <w:p>
            <w:pPr>
              <w:pStyle w:val="TableContents"/>
              <w:bidi w:val="0"/>
              <w:spacing w:before="0" w:after="283"/>
              <w:jc w:val="left"/>
              <w:rPr/>
            </w:pPr>
            <w:r>
              <w:rPr/>
              <w:t> </w:t>
            </w:r>
          </w:p>
        </w:tc>
        <w:tc>
          <w:tcPr>
            <w:tcW w:w="2633" w:type="dxa"/>
            <w:tcBorders>
              <w:bottom w:val="single" w:sz="16" w:space="0" w:color="2E75B4"/>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2E75B4"/>
                <w:sz w:val="22"/>
              </w:rPr>
            </w:pPr>
            <w:r>
              <w:rPr>
                <w:rFonts w:ascii="arial" w:hAnsi="arial"/>
                <w:b/>
                <w:color w:val="2E75B4"/>
                <w:sz w:val="22"/>
              </w:rPr>
              <w:t>Elevating our Neighborhoods</w:t>
            </w:r>
          </w:p>
        </w:tc>
      </w:tr>
      <w:tr>
        <w:trPr/>
        <w:tc>
          <w:tcPr>
            <w:tcW w:w="4449" w:type="dxa"/>
            <w:tcBorders>
              <w:bottom w:val="single" w:sz="16" w:space="0" w:color="2E75B4"/>
            </w:tcBorders>
            <w:shd w:fill="D5DCE4" w:val="clear"/>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Recognizing the importance of environmental preservation and the direct connection between our business and the health of our planet and the well-being of our communities.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sz w:val="4"/>
                <w:szCs w:val="4"/>
              </w:rPr>
            </w:pPr>
            <w:r>
              <w:rPr>
                <w:sz w:val="4"/>
                <w:szCs w:val="4"/>
              </w:rPr>
            </w:r>
          </w:p>
        </w:tc>
        <w:tc>
          <w:tcPr>
            <w:tcW w:w="60" w:type="dxa"/>
            <w:tcBorders>
              <w:bottom w:val="single" w:sz="16" w:space="0" w:color="2E75B4"/>
            </w:tcBorders>
            <w:shd w:fill="D5DCE4" w:val="clear"/>
            <w:tcMar>
              <w:bottom w:w="28" w:type="dxa"/>
            </w:tcMar>
            <w:vAlign w:val="center"/>
          </w:tcPr>
          <w:p>
            <w:pPr>
              <w:pStyle w:val="TableContents"/>
              <w:bidi w:val="0"/>
              <w:spacing w:before="0" w:after="283"/>
              <w:jc w:val="left"/>
              <w:rPr/>
            </w:pPr>
            <w:r>
              <w:rPr/>
              <w:t> </w:t>
            </w:r>
          </w:p>
        </w:tc>
        <w:tc>
          <w:tcPr>
            <w:tcW w:w="2335" w:type="dxa"/>
            <w:tcBorders>
              <w:bottom w:val="single" w:sz="16" w:space="0" w:color="2E75B4"/>
            </w:tcBorders>
            <w:shd w:fill="D5DCE4" w:val="clear"/>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Striving to uplift and empower our employees to help them thrive both professionally and personally.</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sz w:val="4"/>
                <w:szCs w:val="4"/>
              </w:rPr>
            </w:pPr>
            <w:r>
              <w:rPr>
                <w:sz w:val="4"/>
                <w:szCs w:val="4"/>
              </w:rPr>
            </w:r>
          </w:p>
        </w:tc>
        <w:tc>
          <w:tcPr>
            <w:tcW w:w="60" w:type="dxa"/>
            <w:tcBorders>
              <w:bottom w:val="single" w:sz="16" w:space="0" w:color="2E75B4"/>
            </w:tcBorders>
            <w:shd w:fill="D5DCE4" w:val="clear"/>
            <w:tcMar>
              <w:bottom w:w="28" w:type="dxa"/>
            </w:tcMar>
            <w:vAlign w:val="center"/>
          </w:tcPr>
          <w:p>
            <w:pPr>
              <w:pStyle w:val="TableContents"/>
              <w:bidi w:val="0"/>
              <w:spacing w:before="0" w:after="283"/>
              <w:jc w:val="left"/>
              <w:rPr/>
            </w:pPr>
            <w:r>
              <w:rPr/>
              <w:t> </w:t>
            </w:r>
          </w:p>
        </w:tc>
        <w:tc>
          <w:tcPr>
            <w:tcW w:w="2633" w:type="dxa"/>
            <w:tcBorders>
              <w:bottom w:val="single" w:sz="16" w:space="0" w:color="2E75B4"/>
            </w:tcBorders>
            <w:shd w:fill="D5DCE4" w:val="clear"/>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Giving back and contributing to the strength and vitality of the communities where our employees live and work.</w:t>
            </w:r>
          </w:p>
        </w:tc>
      </w:tr>
    </w:tbl>
    <w:p>
      <w:pPr>
        <w:pStyle w:val="TextBody"/>
        <w:bidi w:val="0"/>
        <w:spacing w:before="240" w:after="0"/>
        <w:jc w:val="left"/>
        <w:rPr>
          <w:rFonts w:ascii="arial" w:hAnsi="arial"/>
          <w:b/>
          <w:color w:val="1F295C"/>
          <w:sz w:val="24"/>
        </w:rPr>
      </w:pPr>
      <w:bookmarkStart w:id="42" w:name="toc849638_44"/>
      <w:bookmarkEnd w:id="42"/>
      <w:r>
        <w:rPr>
          <w:rFonts w:ascii="arial" w:hAnsi="arial"/>
          <w:b/>
          <w:color w:val="1F295C"/>
          <w:sz w:val="24"/>
        </w:rPr>
        <w:t xml:space="preserve">Going Beyond the Buildings </w:t>
      </w:r>
    </w:p>
    <w:p>
      <w:pPr>
        <w:pStyle w:val="TextBody"/>
        <w:bidi w:val="0"/>
        <w:spacing w:before="240" w:after="0"/>
        <w:jc w:val="left"/>
        <w:rPr>
          <w:rFonts w:ascii="arial" w:hAnsi="arial"/>
          <w:sz w:val="20"/>
        </w:rPr>
      </w:pPr>
      <w:r>
        <w:rPr>
          <w:rFonts w:ascii="arial" w:hAnsi="arial"/>
          <w:sz w:val="20"/>
        </w:rPr>
        <w:t xml:space="preserve">We play a direct role in creating a sustainable future through our day-to-day business operations by installing products that promote energy efficiency. According to the Office of Energy Efficiency &amp; Renewable Energy, over $400 billion is spent each year to power homes and commercial buildings that consume 75% of all electricity used in the U.S. and 40% of the nations’ total energy. Insulation and air sealing play a critical role in reducing energy consumption. Insulated homes and commercial buildings reduce both energy consumption and greenhouse gas emissions. In addition to the wide range of insulation materials we offer, we also install a variety of advanced caulk and sealant products that control air infiltration to enhance energy efficiency, improve comfort and meet increasingly stringent energy codes. </w:t>
      </w:r>
    </w:p>
    <w:p>
      <w:pPr>
        <w:pStyle w:val="TextBody"/>
        <w:bidi w:val="0"/>
        <w:spacing w:before="240" w:after="0"/>
        <w:jc w:val="left"/>
        <w:rPr>
          <w:rFonts w:ascii="arial" w:hAnsi="arial"/>
          <w:sz w:val="20"/>
        </w:rPr>
      </w:pPr>
      <w:r>
        <w:rPr>
          <w:rFonts w:ascii="arial" w:hAnsi="arial"/>
          <w:sz w:val="20"/>
        </w:rPr>
        <w:t xml:space="preserve">In addition to the contribution that our insulation and air barrier installations make to energy conservation throughout the United States, we are searching for ways to reduce our own carbon footprint. We have transitioned a substantial portion of our electricity needs to a carbon free source and maintain a national waste management program to increase recycling at our branches. More information about insulation and energy efficiency and our environmental targets may be found in our Sustainability Report.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Responsibility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098"/>
        <w:gridCol w:w="120"/>
        <w:gridCol w:w="3987"/>
      </w:tblGrid>
      <w:tr>
        <w:trPr/>
        <w:tc>
          <w:tcPr>
            <w:tcW w:w="60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87" w:type="dxa"/>
            <w:tcBorders/>
            <w:vAlign w:val="center"/>
          </w:tcPr>
          <w:p>
            <w:pPr>
              <w:pStyle w:val="TableContents"/>
              <w:bidi w:val="0"/>
              <w:spacing w:before="0" w:after="283"/>
              <w:jc w:val="left"/>
              <w:rPr>
                <w:sz w:val="4"/>
                <w:szCs w:val="4"/>
              </w:rPr>
            </w:pPr>
            <w:r>
              <w:rPr>
                <w:sz w:val="4"/>
                <w:szCs w:val="4"/>
              </w:rPr>
            </w:r>
          </w:p>
        </w:tc>
      </w:tr>
      <w:tr>
        <w:trPr/>
        <w:tc>
          <w:tcPr>
            <w:tcW w:w="6098" w:type="dxa"/>
            <w:tcBorders/>
            <w:vAlign w:val="center"/>
          </w:tcPr>
          <w:p>
            <w:pPr>
              <w:pStyle w:val="TableContents"/>
              <w:bidi w:val="0"/>
              <w:spacing w:before="0" w:after="283"/>
              <w:jc w:val="left"/>
              <w:rPr/>
            </w:pPr>
            <w:r>
              <w:rPr>
                <w:i/>
                <w:u w:val="single"/>
              </w:rPr>
              <w:t>Fiberglass Insulation Installation Services</w:t>
            </w:r>
            <w:r>
              <w:rPr/>
              <w:t>. The most common type of insulation we install, over 80% of our insulation sales, fiberglass, which is comprised of 50-80% recycled material. Our insulation and air barrier installation services provide the critical link between manufacturer inventory and builders and homeowners who desire to promote energy efficiency or meet increasingly stringent building codes. Our installation professionals receive extensive training, including thermal performance, moisture prevention, air infiltration and ventilation, so that we can employ the latest techniques and technologies to improve energy efficiencies.</w:t>
            </w:r>
          </w:p>
        </w:tc>
        <w:tc>
          <w:tcPr>
            <w:tcW w:w="120" w:type="dxa"/>
            <w:tcBorders/>
            <w:vAlign w:val="center"/>
          </w:tcPr>
          <w:p>
            <w:pPr>
              <w:pStyle w:val="TableContents"/>
              <w:bidi w:val="0"/>
              <w:spacing w:before="0" w:after="283"/>
              <w:jc w:val="left"/>
              <w:rPr/>
            </w:pPr>
            <w:r>
              <w:rPr/>
              <w:t>  </w:t>
            </w:r>
          </w:p>
        </w:tc>
        <w:tc>
          <w:tcPr>
            <w:tcW w:w="3987" w:type="dxa"/>
            <w:tcBorders/>
            <w:vAlign w:val="center"/>
          </w:tcPr>
          <w:p>
            <w:pPr>
              <w:pStyle w:val="TableContents"/>
              <w:bidi w:val="0"/>
              <w:spacing w:before="0" w:after="283"/>
              <w:jc w:val="center"/>
              <w:rPr/>
            </w:pPr>
            <w:r>
              <w:rPr/>
              <w:drawing>
                <wp:inline distT="0" distB="0" distL="0" distR="0">
                  <wp:extent cx="2520315" cy="1715135"/>
                  <wp:effectExtent l="0" t="0" r="0" b="0"/>
                  <wp:docPr id="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6" descr=""/>
                          <pic:cNvPicPr>
                            <a:picLocks noChangeAspect="1" noChangeArrowheads="1"/>
                          </pic:cNvPicPr>
                        </pic:nvPicPr>
                        <pic:blipFill>
                          <a:blip r:embed="rId57"/>
                          <a:stretch>
                            <a:fillRect/>
                          </a:stretch>
                        </pic:blipFill>
                        <pic:spPr bwMode="auto">
                          <a:xfrm>
                            <a:off x="0" y="0"/>
                            <a:ext cx="2520315" cy="1715135"/>
                          </a:xfrm>
                          <a:prstGeom prst="rect">
                            <a:avLst/>
                          </a:prstGeom>
                        </pic:spPr>
                      </pic:pic>
                    </a:graphicData>
                  </a:graphic>
                </wp:inline>
              </w:drawing>
            </w:r>
            <w:r>
              <w:rPr/>
              <w:t xml:space="preserve"> </w:t>
            </w:r>
          </w:p>
        </w:tc>
      </w:tr>
      <w:tr>
        <w:trPr/>
        <w:tc>
          <w:tcPr>
            <w:tcW w:w="6098" w:type="dxa"/>
            <w:tcBorders/>
            <w:vAlign w:val="center"/>
          </w:tcPr>
          <w:p>
            <w:pPr>
              <w:pStyle w:val="TableContents"/>
              <w:bidi w:val="0"/>
              <w:spacing w:before="0" w:after="283"/>
              <w:jc w:val="left"/>
              <w:rPr>
                <w:sz w:val="4"/>
                <w:szCs w:val="4"/>
              </w:rPr>
            </w:pPr>
            <w:r>
              <w:rPr>
                <w:sz w:val="4"/>
                <w:szCs w:val="4"/>
              </w:rPr>
            </w:r>
          </w:p>
        </w:tc>
        <w:tc>
          <w:tcPr>
            <w:tcW w:w="4107" w:type="dxa"/>
            <w:gridSpan w:val="2"/>
            <w:tcBorders/>
            <w:vAlign w:val="center"/>
          </w:tcPr>
          <w:p>
            <w:pPr>
              <w:pStyle w:val="TableContents"/>
              <w:bidi w:val="0"/>
              <w:spacing w:before="0" w:after="283"/>
              <w:jc w:val="left"/>
              <w:rPr>
                <w:sz w:val="4"/>
                <w:szCs w:val="4"/>
              </w:rPr>
            </w:pPr>
            <w:r>
              <w:rPr>
                <w:sz w:val="4"/>
                <w:szCs w:val="4"/>
              </w:rPr>
            </w:r>
          </w:p>
        </w:tc>
      </w:tr>
      <w:tr>
        <w:trPr/>
        <w:tc>
          <w:tcPr>
            <w:tcW w:w="6098" w:type="dxa"/>
            <w:tcBorders/>
            <w:vAlign w:val="center"/>
          </w:tcPr>
          <w:p>
            <w:pPr>
              <w:pStyle w:val="TableContents"/>
              <w:bidi w:val="0"/>
              <w:spacing w:before="0" w:after="283"/>
              <w:jc w:val="left"/>
              <w:rPr/>
            </w:pPr>
            <w:r>
              <w:rPr>
                <w:i/>
                <w:u w:val="single"/>
              </w:rPr>
              <w:t>Loosefill Insulation Installation Services</w:t>
            </w:r>
            <w:r>
              <w:rPr/>
              <w:t>. Another type of fiberglass insulation we install is loosefill, or blown-in, insulation. We have a production facility in Shelbyville, Indiana that retrieves manufacturers’ waste fiberglass material that would otherwise be sent to a landfill and produces loosefill insulation suitable for blowing into attics. In 2024, we reclaimed 3.37 million pounds of scrap material that would otherwise have been placed in a landfill and insulated over 5.06 million square feet of space (to an R value of R30) using this recycled material.</w:t>
            </w:r>
          </w:p>
        </w:tc>
        <w:tc>
          <w:tcPr>
            <w:tcW w:w="120" w:type="dxa"/>
            <w:tcBorders/>
            <w:vAlign w:val="center"/>
          </w:tcPr>
          <w:p>
            <w:pPr>
              <w:pStyle w:val="TableContents"/>
              <w:bidi w:val="0"/>
              <w:spacing w:before="0" w:after="283"/>
              <w:jc w:val="left"/>
              <w:rPr/>
            </w:pPr>
            <w:r>
              <w:rPr/>
              <w:t>  </w:t>
            </w:r>
          </w:p>
        </w:tc>
        <w:tc>
          <w:tcPr>
            <w:tcW w:w="3987" w:type="dxa"/>
            <w:tcBorders/>
            <w:vAlign w:val="center"/>
          </w:tcPr>
          <w:p>
            <w:pPr>
              <w:pStyle w:val="TableContents"/>
              <w:bidi w:val="0"/>
              <w:spacing w:before="0" w:after="283"/>
              <w:jc w:val="center"/>
              <w:rPr/>
            </w:pPr>
            <w:r>
              <w:rPr/>
              <w:drawing>
                <wp:inline distT="0" distB="0" distL="0" distR="0">
                  <wp:extent cx="2520315" cy="1633220"/>
                  <wp:effectExtent l="0" t="0" r="0" b="0"/>
                  <wp:docPr id="5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7" descr=""/>
                          <pic:cNvPicPr>
                            <a:picLocks noChangeAspect="1" noChangeArrowheads="1"/>
                          </pic:cNvPicPr>
                        </pic:nvPicPr>
                        <pic:blipFill>
                          <a:blip r:embed="rId58"/>
                          <a:stretch>
                            <a:fillRect/>
                          </a:stretch>
                        </pic:blipFill>
                        <pic:spPr bwMode="auto">
                          <a:xfrm>
                            <a:off x="0" y="0"/>
                            <a:ext cx="2520315" cy="1633220"/>
                          </a:xfrm>
                          <a:prstGeom prst="rect">
                            <a:avLst/>
                          </a:prstGeom>
                        </pic:spPr>
                      </pic:pic>
                    </a:graphicData>
                  </a:graphic>
                </wp:inline>
              </w:drawing>
            </w:r>
            <w:r>
              <w:rPr/>
              <w:t xml:space="preserve"> </w:t>
            </w:r>
          </w:p>
        </w:tc>
      </w:tr>
      <w:tr>
        <w:trPr/>
        <w:tc>
          <w:tcPr>
            <w:tcW w:w="6098" w:type="dxa"/>
            <w:tcBorders/>
            <w:vAlign w:val="center"/>
          </w:tcPr>
          <w:p>
            <w:pPr>
              <w:pStyle w:val="TableContents"/>
              <w:bidi w:val="0"/>
              <w:spacing w:before="0" w:after="283"/>
              <w:jc w:val="left"/>
              <w:rPr>
                <w:sz w:val="4"/>
                <w:szCs w:val="4"/>
              </w:rPr>
            </w:pPr>
            <w:r>
              <w:rPr>
                <w:sz w:val="4"/>
                <w:szCs w:val="4"/>
              </w:rPr>
            </w:r>
          </w:p>
        </w:tc>
        <w:tc>
          <w:tcPr>
            <w:tcW w:w="4107" w:type="dxa"/>
            <w:gridSpan w:val="2"/>
            <w:tcBorders/>
            <w:vAlign w:val="center"/>
          </w:tcPr>
          <w:p>
            <w:pPr>
              <w:pStyle w:val="TableContents"/>
              <w:bidi w:val="0"/>
              <w:spacing w:before="0" w:after="283"/>
              <w:jc w:val="left"/>
              <w:rPr>
                <w:sz w:val="4"/>
                <w:szCs w:val="4"/>
              </w:rPr>
            </w:pPr>
            <w:r>
              <w:rPr>
                <w:sz w:val="4"/>
                <w:szCs w:val="4"/>
              </w:rPr>
            </w:r>
          </w:p>
        </w:tc>
      </w:tr>
      <w:tr>
        <w:trPr/>
        <w:tc>
          <w:tcPr>
            <w:tcW w:w="6098" w:type="dxa"/>
            <w:tcBorders/>
            <w:vAlign w:val="center"/>
          </w:tcPr>
          <w:p>
            <w:pPr>
              <w:pStyle w:val="TableContents"/>
              <w:bidi w:val="0"/>
              <w:spacing w:before="0" w:after="283"/>
              <w:jc w:val="left"/>
              <w:rPr/>
            </w:pPr>
            <w:r>
              <w:rPr>
                <w:i/>
                <w:u w:val="single"/>
              </w:rPr>
              <w:t>Cellulose Insulation Manufacturing</w:t>
            </w:r>
            <w:r>
              <w:rPr>
                <w:i/>
              </w:rPr>
              <w:t xml:space="preserve">. </w:t>
            </w:r>
            <w:r>
              <w:rPr/>
              <w:t>Another product we install is cellulose insulation, which is installed in the walls, ceilings and attics of new homes. In 2024, our manufacturing plant located in Bucyrus, Ohio produced 51,776 tons of cellulose products consisting of a minimum of 85% post-consumer recycled waste paper and cardboard. We processed approximately 48,669 tons of recycled wastepaper to make our finished cellulose products which might have otherwise decomposed in a landfill, releasing methane and carbon dioxide gases. The manufacturing process does not directly emit atmospheric gases or use water. In 2021, the Bucyrus plant transitioned its electricity supply, which comprised approximately 30% of our total electricity consumption, to a carbon-free source. In 2024, the Bucyrus plant began recycling polypropylene supply packaging and scrap bag film, which we estimate will reduce the amount of waste we send to the landfill by at least 38,000 pounds annually.</w:t>
            </w:r>
          </w:p>
        </w:tc>
        <w:tc>
          <w:tcPr>
            <w:tcW w:w="120" w:type="dxa"/>
            <w:vMerge w:val="restart"/>
            <w:tcBorders/>
            <w:vAlign w:val="center"/>
          </w:tcPr>
          <w:p>
            <w:pPr>
              <w:pStyle w:val="TableContents"/>
              <w:bidi w:val="0"/>
              <w:spacing w:before="0" w:after="283"/>
              <w:jc w:val="left"/>
              <w:rPr/>
            </w:pPr>
            <w:r>
              <w:rPr/>
              <w:t>  </w:t>
            </w:r>
          </w:p>
        </w:tc>
        <w:tc>
          <w:tcPr>
            <w:tcW w:w="3987" w:type="dxa"/>
            <w:vMerge w:val="restart"/>
            <w:tcBorders/>
            <w:vAlign w:val="center"/>
          </w:tcPr>
          <w:p>
            <w:pPr>
              <w:pStyle w:val="TableContents"/>
              <w:bidi w:val="0"/>
              <w:spacing w:before="0" w:after="0"/>
              <w:jc w:val="center"/>
              <w:rPr/>
            </w:pPr>
            <w:r>
              <w:rPr/>
              <w:drawing>
                <wp:inline distT="0" distB="0" distL="0" distR="0">
                  <wp:extent cx="2520315" cy="1423035"/>
                  <wp:effectExtent l="0" t="0" r="0" b="0"/>
                  <wp:docPr id="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8" descr=""/>
                          <pic:cNvPicPr>
                            <a:picLocks noChangeAspect="1" noChangeArrowheads="1"/>
                          </pic:cNvPicPr>
                        </pic:nvPicPr>
                        <pic:blipFill>
                          <a:blip r:embed="rId59"/>
                          <a:stretch>
                            <a:fillRect/>
                          </a:stretch>
                        </pic:blipFill>
                        <pic:spPr bwMode="auto">
                          <a:xfrm>
                            <a:off x="0" y="0"/>
                            <a:ext cx="2520315" cy="14230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648460" cy="2101850"/>
                  <wp:effectExtent l="0" t="0" r="0" b="0"/>
                  <wp:docPr id="6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9" descr=""/>
                          <pic:cNvPicPr>
                            <a:picLocks noChangeAspect="1" noChangeArrowheads="1"/>
                          </pic:cNvPicPr>
                        </pic:nvPicPr>
                        <pic:blipFill>
                          <a:blip r:embed="rId60"/>
                          <a:stretch>
                            <a:fillRect/>
                          </a:stretch>
                        </pic:blipFill>
                        <pic:spPr bwMode="auto">
                          <a:xfrm>
                            <a:off x="0" y="0"/>
                            <a:ext cx="1648460" cy="2101850"/>
                          </a:xfrm>
                          <a:prstGeom prst="rect">
                            <a:avLst/>
                          </a:prstGeom>
                        </pic:spPr>
                      </pic:pic>
                    </a:graphicData>
                  </a:graphic>
                </wp:inline>
              </w:drawing>
            </w:r>
            <w:r>
              <w:rPr/>
              <w:t xml:space="preserve"> </w:t>
            </w:r>
          </w:p>
        </w:tc>
      </w:tr>
      <w:tr>
        <w:trPr/>
        <w:tc>
          <w:tcPr>
            <w:tcW w:w="6098" w:type="dxa"/>
            <w:tcBorders/>
            <w:vAlign w:val="center"/>
          </w:tcPr>
          <w:p>
            <w:pPr>
              <w:pStyle w:val="TableContents"/>
              <w:bidi w:val="0"/>
              <w:spacing w:before="0" w:after="283"/>
              <w:jc w:val="left"/>
              <w:rPr/>
            </w:pPr>
            <w:r>
              <w:rPr>
                <w:i/>
                <w:u w:val="single"/>
              </w:rPr>
              <w:t>HERS Raters</w:t>
            </w:r>
            <w:r>
              <w:rPr/>
              <w:t>. The Home Energy Raters System (“HERS”) is the industry standard for measuring a home’s energy efficiency. We employ several accredited HERS raters and have affiliations with others. HERS raters are the primary means by which homes are qualified for the U.S. Environmental Protection Agency’s Energy Star for Homes Program, as well as for federal energy tax credits. HERS raters review insulation levels, window efficiency, HVAC system efficiency and water heating systems. They also do performance testing such as blower door tests to examine air and duct leakage.</w:t>
            </w:r>
          </w:p>
        </w:tc>
        <w:tc>
          <w:tcPr>
            <w:tcW w:w="120" w:type="dxa"/>
            <w:vMerge w:val="continue"/>
            <w:tcBorders/>
            <w:vAlign w:val="center"/>
          </w:tcPr>
          <w:p>
            <w:pPr>
              <w:pStyle w:val="Normal"/>
              <w:bidi w:val="0"/>
              <w:jc w:val="left"/>
              <w:rPr/>
            </w:pPr>
            <w:r>
              <w:rPr/>
            </w:r>
          </w:p>
        </w:tc>
        <w:tc>
          <w:tcPr>
            <w:tcW w:w="3987"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Responsibility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43" w:name="toc849638_45"/>
      <w:bookmarkEnd w:id="43"/>
      <w:r>
        <w:rPr>
          <w:rFonts w:ascii="arial" w:hAnsi="arial"/>
          <w:b/>
          <w:color w:val="1F295C"/>
          <w:sz w:val="24"/>
        </w:rPr>
        <w:t xml:space="preserve">Committing to Our People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75"/>
        <w:gridCol w:w="120"/>
        <w:gridCol w:w="4410"/>
      </w:tblGrid>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10" w:type="dxa"/>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r>
              <w:rPr/>
              <w:t>We believe that our success and our future are directly attributable to the recruitment, development and retention of exceptional employees. Our people are our most valuable assets, making workforce safety, mental health and financial wellness paramount. We believe that employees who are engaged and committed for the long term are critical to our long-term strategy. The CHC Committee oversees our human capital management practices and receives regular updates on our employee welfare initiatives and employee engagement. The experience of the CHC Committee members in support of social initiatives and in human capital management strengthens the Board’s oversight and assures that our business strategy and long-term value creation are achieved within a responsible business model. Our culture of family unifies our workforce of approximately 10,833 employees in over 250 locations across the United States.</w:t>
            </w:r>
          </w:p>
        </w:tc>
        <w:tc>
          <w:tcPr>
            <w:tcW w:w="120" w:type="dxa"/>
            <w:tcBorders/>
            <w:vAlign w:val="center"/>
          </w:tcPr>
          <w:p>
            <w:pPr>
              <w:pStyle w:val="TableContents"/>
              <w:bidi w:val="0"/>
              <w:spacing w:before="0" w:after="283"/>
              <w:jc w:val="left"/>
              <w:rPr/>
            </w:pPr>
            <w:r>
              <w:rPr/>
              <w:t>  </w:t>
            </w:r>
          </w:p>
        </w:tc>
        <w:tc>
          <w:tcPr>
            <w:tcW w:w="4410" w:type="dxa"/>
            <w:tcBorders/>
            <w:vAlign w:val="center"/>
          </w:tcPr>
          <w:p>
            <w:pPr>
              <w:pStyle w:val="TableContents"/>
              <w:bidi w:val="0"/>
              <w:spacing w:before="0" w:after="0"/>
              <w:jc w:val="center"/>
              <w:rPr/>
            </w:pPr>
            <w:r>
              <w:rPr/>
              <w:drawing>
                <wp:inline distT="0" distB="0" distL="0" distR="0">
                  <wp:extent cx="2788920" cy="1863725"/>
                  <wp:effectExtent l="0" t="0" r="0" b="0"/>
                  <wp:docPr id="6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0" descr=""/>
                          <pic:cNvPicPr>
                            <a:picLocks noChangeAspect="1" noChangeArrowheads="1"/>
                          </pic:cNvPicPr>
                        </pic:nvPicPr>
                        <pic:blipFill>
                          <a:blip r:embed="rId61"/>
                          <a:stretch>
                            <a:fillRect/>
                          </a:stretch>
                        </pic:blipFill>
                        <pic:spPr bwMode="auto">
                          <a:xfrm>
                            <a:off x="0" y="0"/>
                            <a:ext cx="2788920" cy="18637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788920" cy="1863725"/>
                  <wp:effectExtent l="0" t="0" r="0" b="0"/>
                  <wp:docPr id="6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1" descr=""/>
                          <pic:cNvPicPr>
                            <a:picLocks noChangeAspect="1" noChangeArrowheads="1"/>
                          </pic:cNvPicPr>
                        </pic:nvPicPr>
                        <pic:blipFill>
                          <a:blip r:embed="rId62"/>
                          <a:stretch>
                            <a:fillRect/>
                          </a:stretch>
                        </pic:blipFill>
                        <pic:spPr bwMode="auto">
                          <a:xfrm>
                            <a:off x="0" y="0"/>
                            <a:ext cx="2788920" cy="1863725"/>
                          </a:xfrm>
                          <a:prstGeom prst="rect">
                            <a:avLst/>
                          </a:prstGeom>
                        </pic:spPr>
                      </pic:pic>
                    </a:graphicData>
                  </a:graphic>
                </wp:inline>
              </w:drawing>
            </w:r>
            <w:r>
              <w:rPr/>
              <w:t xml:space="preserve"> </w:t>
            </w:r>
          </w:p>
        </w:tc>
      </w:tr>
    </w:tbl>
    <w:p>
      <w:pPr>
        <w:pStyle w:val="TextBody"/>
        <w:bidi w:val="0"/>
        <w:spacing w:before="240" w:after="0"/>
        <w:jc w:val="left"/>
        <w:rPr>
          <w:rFonts w:ascii="arial" w:hAnsi="arial"/>
          <w:sz w:val="20"/>
        </w:rPr>
      </w:pPr>
      <w:r>
        <w:rPr>
          <w:rFonts w:ascii="arial" w:hAnsi="arial"/>
          <w:sz w:val="20"/>
        </w:rPr>
        <w:t xml:space="preserve">Below is key demographic data of our workforce as of December 31, 2024.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1741805"/>
            <wp:effectExtent l="0" t="0" r="0" b="0"/>
            <wp:docPr id="6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2" descr=""/>
                    <pic:cNvPicPr>
                      <a:picLocks noChangeAspect="1" noChangeArrowheads="1"/>
                    </pic:cNvPicPr>
                  </pic:nvPicPr>
                  <pic:blipFill>
                    <a:blip r:embed="rId63"/>
                    <a:stretch>
                      <a:fillRect/>
                    </a:stretch>
                  </pic:blipFill>
                  <pic:spPr bwMode="auto">
                    <a:xfrm>
                      <a:off x="0" y="0"/>
                      <a:ext cx="5765800" cy="17418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left"/>
        <w:rPr>
          <w:rFonts w:ascii="arial" w:hAnsi="arial"/>
          <w:sz w:val="20"/>
        </w:rPr>
      </w:pPr>
      <w:r>
        <w:rPr>
          <w:rFonts w:ascii="arial" w:hAnsi="arial"/>
          <w:sz w:val="20"/>
        </w:rPr>
        <w:t xml:space="preserve">We strive to create an inclusive work culture for people of all backgrounds. We have developed a number of initiatives to help attract, develop and retain our workforce, which reduces turnover and training costs, increases productivity, builds a culture of belonging, enhances employee engagement, promotes a safer work environment, encourages customer loyalty and promotes community engagement. We believe that our retention efforts have reduced turnover levels across our installer base below the industry average, based on statistics reported by the U.S. Bureau of Labor Statistics. For example, in 2024, we experienced an average monthly turnover in our installer base of 2.8%, compared to 3.9% in the U.S. construction industry, according to the Bureau of Labor Statistics.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Responsibility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vision is to build an empathetic organization and to foster a culture that values inclusion and employee engagement and to create an environment where all employees feel as though they belong. Our employee initiatives are overseen by the CHC Committee, and include: </w:t>
      </w:r>
    </w:p>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75"/>
        <w:gridCol w:w="200"/>
        <w:gridCol w:w="60"/>
        <w:gridCol w:w="42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rFonts w:ascii="arial" w:hAnsi="arial"/>
                <w:sz w:val="20"/>
              </w:rPr>
            </w:pPr>
            <w:r>
              <w:rPr>
                <w:rFonts w:ascii="arial" w:hAnsi="arial"/>
                <w:sz w:val="20"/>
              </w:rPr>
              <w:t xml:space="preserve">Leadership training and development programs; </w:t>
            </w:r>
          </w:p>
        </w:tc>
      </w:tr>
    </w:tbl>
    <w:tbl>
      <w:tblPr>
        <w:tblW w:w="3595" w:type="dxa"/>
        <w:jc w:val="left"/>
        <w:tblInd w:w="0" w:type="dxa"/>
        <w:tblLayout w:type="fixed"/>
        <w:tblCellMar>
          <w:top w:w="0" w:type="dxa"/>
          <w:left w:w="0" w:type="dxa"/>
          <w:bottom w:w="0" w:type="dxa"/>
          <w:right w:w="0" w:type="dxa"/>
        </w:tblCellMar>
      </w:tblPr>
      <w:tblGrid>
        <w:gridCol w:w="75"/>
        <w:gridCol w:w="200"/>
        <w:gridCol w:w="60"/>
        <w:gridCol w:w="32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left"/>
              <w:rPr>
                <w:rFonts w:ascii="arial" w:hAnsi="arial"/>
                <w:sz w:val="20"/>
              </w:rPr>
            </w:pPr>
            <w:r>
              <w:rPr>
                <w:rFonts w:ascii="arial" w:hAnsi="arial"/>
                <w:sz w:val="20"/>
              </w:rPr>
              <w:t xml:space="preserve">Building an expanded hiring pipeline; </w:t>
            </w:r>
          </w:p>
        </w:tc>
      </w:tr>
    </w:tbl>
    <w:tbl>
      <w:tblPr>
        <w:tblW w:w="6760" w:type="dxa"/>
        <w:jc w:val="left"/>
        <w:tblInd w:w="0" w:type="dxa"/>
        <w:tblLayout w:type="fixed"/>
        <w:tblCellMar>
          <w:top w:w="0" w:type="dxa"/>
          <w:left w:w="0" w:type="dxa"/>
          <w:bottom w:w="0" w:type="dxa"/>
          <w:right w:w="0" w:type="dxa"/>
        </w:tblCellMar>
      </w:tblPr>
      <w:tblGrid>
        <w:gridCol w:w="75"/>
        <w:gridCol w:w="200"/>
        <w:gridCol w:w="60"/>
        <w:gridCol w:w="64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left"/>
              <w:rPr>
                <w:rFonts w:ascii="arial" w:hAnsi="arial"/>
                <w:sz w:val="20"/>
              </w:rPr>
            </w:pPr>
            <w:r>
              <w:rPr>
                <w:rFonts w:ascii="arial" w:hAnsi="arial"/>
                <w:sz w:val="20"/>
              </w:rPr>
              <w:t xml:space="preserve">Conducting employee focus groups to understand employee perceptions; </w:t>
            </w:r>
          </w:p>
        </w:tc>
      </w:tr>
    </w:tbl>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Broadcasting our Positive Production Program videos to educate and encourage inclusion and employee well-being; and </w:t>
            </w:r>
          </w:p>
        </w:tc>
      </w:tr>
    </w:tbl>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Offering both English and Spanish as a Second Language classes to remove communication hurdles among our workforce. </w:t>
            </w:r>
          </w:p>
        </w:tc>
      </w:tr>
    </w:tbl>
    <w:p>
      <w:pPr>
        <w:pStyle w:val="TextBody"/>
        <w:bidi w:val="0"/>
        <w:spacing w:before="240" w:after="0"/>
        <w:jc w:val="left"/>
        <w:rPr>
          <w:rFonts w:ascii="arial" w:hAnsi="arial"/>
          <w:color w:val="1070B8"/>
          <w:sz w:val="22"/>
        </w:rPr>
      </w:pPr>
      <w:r>
        <w:rPr>
          <w:rFonts w:ascii="arial" w:hAnsi="arial"/>
          <w:color w:val="1070B8"/>
          <w:sz w:val="22"/>
        </w:rPr>
        <w:t xml:space="preserve">Benefits </w:t>
      </w:r>
    </w:p>
    <w:p>
      <w:pPr>
        <w:pStyle w:val="TextBody"/>
        <w:bidi w:val="0"/>
        <w:spacing w:before="240" w:after="0"/>
        <w:jc w:val="left"/>
        <w:rPr>
          <w:rFonts w:ascii="arial" w:hAnsi="arial"/>
          <w:sz w:val="20"/>
        </w:rPr>
      </w:pPr>
      <w:r>
        <w:rPr>
          <w:rFonts w:ascii="arial" w:hAnsi="arial"/>
          <w:sz w:val="20"/>
        </w:rPr>
        <w:t xml:space="preserve">Offering competitive pay and benefits helps us attract and retain talented employees. We offer a full range of benefits to qualifying employees, including medical, dental and vision insurance, prescription drug coverage, flexible spending accounts, 401(k) retirement programs with matching contributions, paid vacations and holidays, short- and long-term disability insurance, life insurance and group accident and critical illness insurance. </w:t>
      </w:r>
    </w:p>
    <w:p>
      <w:pPr>
        <w:pStyle w:val="TextBody"/>
        <w:bidi w:val="0"/>
        <w:spacing w:before="240" w:after="0"/>
        <w:jc w:val="left"/>
        <w:rPr>
          <w:rFonts w:ascii="arial" w:hAnsi="arial"/>
          <w:color w:val="1070B8"/>
          <w:sz w:val="22"/>
        </w:rPr>
      </w:pPr>
      <w:r>
        <w:rPr>
          <w:rFonts w:ascii="arial" w:hAnsi="arial"/>
          <w:color w:val="1070B8"/>
          <w:sz w:val="22"/>
        </w:rPr>
        <w:t xml:space="preserve">Safety </w:t>
      </w:r>
    </w:p>
    <w:p>
      <w:pPr>
        <w:pStyle w:val="TextBody"/>
        <w:bidi w:val="0"/>
        <w:spacing w:before="240" w:after="0"/>
        <w:jc w:val="left"/>
        <w:rPr>
          <w:rFonts w:ascii="arial" w:hAnsi="arial"/>
          <w:sz w:val="20"/>
        </w:rPr>
      </w:pPr>
      <w:r>
        <w:rPr>
          <w:rFonts w:ascii="arial" w:hAnsi="arial"/>
          <w:sz w:val="20"/>
        </w:rPr>
        <w:t xml:space="preserve">Employee safety is a core business objective. Our installers engage in physically strenuous, and, at times, hazardous work. We have detailed safety policies and each year significant staffing, funding and resources are allocated to safety and risk management. We have strong workplace safety measures that we call Lead with Safety, a continuing education program focused on creating a safer working environment for our employees and other jobsite personnel through year-round education and training. We have regional safety managers who are OSHA 500 certified outreach trainers who conduct intensive courses on OSHA safety training. </w:t>
      </w:r>
    </w:p>
    <w:p>
      <w:pPr>
        <w:pStyle w:val="TextBody"/>
        <w:bidi w:val="0"/>
        <w:spacing w:before="240" w:after="0"/>
        <w:jc w:val="left"/>
        <w:rPr>
          <w:rFonts w:ascii="arial" w:hAnsi="arial"/>
          <w:sz w:val="20"/>
        </w:rPr>
      </w:pPr>
      <w:r>
        <w:rPr>
          <w:rFonts w:ascii="arial" w:hAnsi="arial"/>
          <w:sz w:val="20"/>
        </w:rPr>
        <w:t xml:space="preserve">We track all incidents that occur on our job sites that could result in injury, including minor incidents that may not require first aid or medical treatment. We use this information to mitigate the potential for severe accidents and to refine our safety training programs. We believe our safety programs are having a positive impact. Our OSHA-defined incident rate per 100 employees was 5.10 for 2024, which was a decrease of 9% from 2023, and below our five year average of 5.86. Severe incidents increased from seven in 2023 to 11 in 2024. We have had no fatalities in the past three years. </w:t>
      </w:r>
    </w:p>
    <w:p>
      <w:pPr>
        <w:pStyle w:val="TextBody"/>
        <w:bidi w:val="0"/>
        <w:spacing w:before="240" w:after="0"/>
        <w:jc w:val="left"/>
        <w:rPr>
          <w:rFonts w:ascii="arial" w:hAnsi="arial"/>
          <w:sz w:val="20"/>
        </w:rPr>
      </w:pPr>
      <w:r>
        <w:rPr>
          <w:rFonts w:ascii="arial" w:hAnsi="arial"/>
          <w:sz w:val="20"/>
        </w:rPr>
        <w:t xml:space="preserve">Our safety programs include more than 35 training videos and a comprehensive list of policies and procedures for common construction industry hazards, including confined space, fall protection, hazardous chemicals communication, respiratory protection, hand and portable power tools, and drywall storage safety. Drivers take part in our fleet safety program. Each installer receives initial safety training upon hire and may receive tailored training depending upon duties. Safety training continues with weekly toolbox talks, quarterly safety initiatives, annual refresher training and safety excellence awards, keeping safety at the forefront for every employee. </w:t>
      </w:r>
    </w:p>
    <w:p>
      <w:pPr>
        <w:pStyle w:val="TextBody"/>
        <w:bidi w:val="0"/>
        <w:spacing w:before="240" w:after="0"/>
        <w:jc w:val="left"/>
        <w:rPr>
          <w:rFonts w:ascii="arial" w:hAnsi="arial"/>
          <w:color w:val="1070B8"/>
          <w:sz w:val="22"/>
        </w:rPr>
      </w:pPr>
      <w:r>
        <w:rPr>
          <w:rFonts w:ascii="arial" w:hAnsi="arial"/>
          <w:color w:val="1070B8"/>
          <w:sz w:val="22"/>
        </w:rPr>
        <w:t xml:space="preserve">Financial Wellness Program </w:t>
      </w:r>
    </w:p>
    <w:p>
      <w:pPr>
        <w:pStyle w:val="TextBody"/>
        <w:bidi w:val="0"/>
        <w:spacing w:before="240" w:after="0"/>
        <w:jc w:val="left"/>
        <w:rPr>
          <w:rFonts w:ascii="arial" w:hAnsi="arial"/>
          <w:sz w:val="20"/>
        </w:rPr>
      </w:pPr>
      <w:r>
        <w:rPr>
          <w:rFonts w:ascii="arial" w:hAnsi="arial"/>
          <w:sz w:val="20"/>
        </w:rPr>
        <w:t xml:space="preserve">We offer a multifaceted financial wellness education program to our employees to increase education and encourage responsible personal financial decision-making. The program educates participants on key personal financial topics, including budgeting, credit scores, debt reduction, saving and giving back to the community. One of the key components of this program is encouraging employees to establish personal savings accounts, which the Company matches dollar for dollar up to $1,000. Since inception of the program, we have matched over $6 million in employee personal savings. We believe this valuable program not only helps address employee retention, but helps educate our employees to prepare for their financial security. </w:t>
      </w:r>
    </w:p>
    <w:p>
      <w:pPr>
        <w:pStyle w:val="TextBody"/>
        <w:bidi w:val="0"/>
        <w:spacing w:before="240" w:after="0"/>
        <w:jc w:val="left"/>
        <w:rPr>
          <w:rFonts w:ascii="arial" w:hAnsi="arial"/>
          <w:color w:val="1070B8"/>
          <w:sz w:val="22"/>
        </w:rPr>
      </w:pPr>
      <w:r>
        <w:rPr>
          <w:rFonts w:ascii="arial" w:hAnsi="arial"/>
          <w:color w:val="1070B8"/>
          <w:sz w:val="22"/>
        </w:rPr>
        <w:t xml:space="preserve">Longevity Awards </w:t>
      </w:r>
    </w:p>
    <w:p>
      <w:pPr>
        <w:pStyle w:val="TextBody"/>
        <w:bidi w:val="0"/>
        <w:spacing w:before="240" w:after="0"/>
        <w:jc w:val="left"/>
        <w:rPr>
          <w:rFonts w:ascii="arial" w:hAnsi="arial"/>
          <w:sz w:val="20"/>
        </w:rPr>
      </w:pPr>
      <w:r>
        <w:rPr>
          <w:rFonts w:ascii="arial" w:hAnsi="arial"/>
          <w:sz w:val="20"/>
        </w:rPr>
        <w:t xml:space="preserve">Our longevity award program rewards employees who do not otherwise receive awards under another Company stock program for their long-time dedicated service to the Company. Eligible employees are awarded grants of restricted stock units for each ten years of continuous service to the Company, including service for companies that we acquire. Provided the Company meets a revenue target established in advance by the CHC Committee, employees are awarded restricted stock units based on a percentage of wages that convert one year later into shares of our common stock (for 2024 awards, the target was approximately $2.8 billion trailing 12-month revenue from July 1, 2023 to June 30, 2024). Through December 31, 2024, we have awarded approximately 165,000 restricted stock units under the program to approximately 1,980 employees with tenures ranging from 10 to 48 years. We believe the program rewards employees for valued service, assists in retention of our highly valued long-term employees and results in a highly motivated and engaged workforce.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Responsibility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1070B8"/>
          <w:sz w:val="22"/>
        </w:rPr>
      </w:pPr>
      <w:r>
        <w:rPr>
          <w:rFonts w:ascii="arial" w:hAnsi="arial"/>
          <w:color w:val="1070B8"/>
          <w:sz w:val="22"/>
        </w:rPr>
        <w:t xml:space="preserve">Positive Production Program </w:t>
      </w:r>
    </w:p>
    <w:p>
      <w:pPr>
        <w:pStyle w:val="TextBody"/>
        <w:bidi w:val="0"/>
        <w:spacing w:before="240" w:after="0"/>
        <w:jc w:val="left"/>
        <w:rPr>
          <w:rFonts w:ascii="arial" w:hAnsi="arial"/>
          <w:sz w:val="20"/>
        </w:rPr>
      </w:pPr>
      <w:r>
        <w:rPr>
          <w:rFonts w:ascii="arial" w:hAnsi="arial"/>
          <w:sz w:val="20"/>
        </w:rPr>
        <w:t xml:space="preserve">The Positive Production Program is a well-being program developed for our employees to foster positive mental attitudes and to provide personal development learning opportunities. The goals of the program are: </w:t>
      </w:r>
    </w:p>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200"/>
        <w:gridCol w:w="60"/>
        <w:gridCol w:w="88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rFonts w:ascii="arial" w:hAnsi="arial"/>
                <w:sz w:val="20"/>
              </w:rPr>
            </w:pPr>
            <w:r>
              <w:rPr>
                <w:rFonts w:ascii="arial" w:hAnsi="arial"/>
                <w:sz w:val="20"/>
              </w:rPr>
              <w:t xml:space="preserve">To provide opportunities to build strong relationships among employees and connect with one another </w:t>
            </w:r>
          </w:p>
        </w:tc>
      </w:tr>
    </w:tbl>
    <w:tbl>
      <w:tblPr>
        <w:tblW w:w="6595" w:type="dxa"/>
        <w:jc w:val="left"/>
        <w:tblInd w:w="0" w:type="dxa"/>
        <w:tblLayout w:type="fixed"/>
        <w:tblCellMar>
          <w:top w:w="0" w:type="dxa"/>
          <w:left w:w="0" w:type="dxa"/>
          <w:bottom w:w="0" w:type="dxa"/>
          <w:right w:w="0" w:type="dxa"/>
        </w:tblCellMar>
      </w:tblPr>
      <w:tblGrid>
        <w:gridCol w:w="75"/>
        <w:gridCol w:w="200"/>
        <w:gridCol w:w="60"/>
        <w:gridCol w:w="62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arial" w:hAnsi="arial"/>
                <w:sz w:val="20"/>
              </w:rPr>
            </w:pPr>
            <w:r>
              <w:rPr>
                <w:rFonts w:ascii="arial" w:hAnsi="arial"/>
                <w:sz w:val="20"/>
              </w:rPr>
              <w:t xml:space="preserve">To build strong teams and work environments with engaged employees </w:t>
            </w:r>
          </w:p>
        </w:tc>
      </w:tr>
    </w:tbl>
    <w:tbl>
      <w:tblPr>
        <w:tblW w:w="5350" w:type="dxa"/>
        <w:jc w:val="left"/>
        <w:tblInd w:w="0" w:type="dxa"/>
        <w:tblLayout w:type="fixed"/>
        <w:tblCellMar>
          <w:top w:w="0" w:type="dxa"/>
          <w:left w:w="0" w:type="dxa"/>
          <w:bottom w:w="0" w:type="dxa"/>
          <w:right w:w="0" w:type="dxa"/>
        </w:tblCellMar>
      </w:tblPr>
      <w:tblGrid>
        <w:gridCol w:w="75"/>
        <w:gridCol w:w="200"/>
        <w:gridCol w:w="60"/>
        <w:gridCol w:w="50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left"/>
              <w:rPr>
                <w:rFonts w:ascii="arial" w:hAnsi="arial"/>
                <w:sz w:val="20"/>
              </w:rPr>
            </w:pPr>
            <w:r>
              <w:rPr>
                <w:rFonts w:ascii="arial" w:hAnsi="arial"/>
                <w:sz w:val="20"/>
              </w:rPr>
              <w:t xml:space="preserve">To provide opportunities for employees to learn and grow </w:t>
            </w:r>
          </w:p>
        </w:tc>
      </w:tr>
    </w:tbl>
    <w:tbl>
      <w:tblPr>
        <w:tblW w:w="7555" w:type="dxa"/>
        <w:jc w:val="left"/>
        <w:tblInd w:w="0" w:type="dxa"/>
        <w:tblLayout w:type="fixed"/>
        <w:tblCellMar>
          <w:top w:w="0" w:type="dxa"/>
          <w:left w:w="0" w:type="dxa"/>
          <w:bottom w:w="0" w:type="dxa"/>
          <w:right w:w="0" w:type="dxa"/>
        </w:tblCellMar>
      </w:tblPr>
      <w:tblGrid>
        <w:gridCol w:w="75"/>
        <w:gridCol w:w="200"/>
        <w:gridCol w:w="60"/>
        <w:gridCol w:w="72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left"/>
              <w:rPr>
                <w:rFonts w:ascii="arial" w:hAnsi="arial"/>
                <w:sz w:val="20"/>
              </w:rPr>
            </w:pPr>
            <w:r>
              <w:rPr>
                <w:rFonts w:ascii="arial" w:hAnsi="arial"/>
                <w:sz w:val="20"/>
              </w:rPr>
              <w:t xml:space="preserve">To improve employee well-being by building awareness and sharing best practices </w:t>
            </w:r>
          </w:p>
        </w:tc>
      </w:tr>
    </w:tbl>
    <w:p>
      <w:pPr>
        <w:pStyle w:val="TextBody"/>
        <w:bidi w:val="0"/>
        <w:spacing w:before="240" w:after="0"/>
        <w:jc w:val="left"/>
        <w:rPr>
          <w:rFonts w:ascii="arial" w:hAnsi="arial"/>
          <w:sz w:val="20"/>
        </w:rPr>
      </w:pPr>
      <w:r>
        <w:rPr>
          <w:rFonts w:ascii="arial" w:hAnsi="arial"/>
          <w:sz w:val="20"/>
        </w:rPr>
        <w:t xml:space="preserve">The elements of the Positive Production Program include in-house produced videos on topics such as growth mindset, emotional intelligence and gratitude, which are emailed or texted to all employees on a bi-weekly basis and streamed on screens at each branch location. The program focuses on essential workplace skills such as building trust, accountability, habit formation and goal setting, with the objective of enhancing collaboration, productivity and personal development. </w:t>
      </w:r>
    </w:p>
    <w:p>
      <w:pPr>
        <w:pStyle w:val="TextBody"/>
        <w:bidi w:val="0"/>
        <w:spacing w:before="240" w:after="0"/>
        <w:jc w:val="left"/>
        <w:rPr>
          <w:rFonts w:ascii="arial" w:hAnsi="arial"/>
          <w:b/>
          <w:color w:val="1F295C"/>
          <w:sz w:val="24"/>
        </w:rPr>
      </w:pPr>
      <w:bookmarkStart w:id="44" w:name="toc849638_46"/>
      <w:bookmarkEnd w:id="44"/>
      <w:r>
        <w:rPr>
          <w:rFonts w:ascii="arial" w:hAnsi="arial"/>
          <w:b/>
          <w:color w:val="1F295C"/>
          <w:sz w:val="24"/>
        </w:rPr>
        <w:t xml:space="preserve">Elevating our Neighborhoods </w:t>
      </w:r>
    </w:p>
    <w:p>
      <w:pPr>
        <w:pStyle w:val="TextBody"/>
        <w:bidi w:val="0"/>
        <w:spacing w:before="240" w:after="0"/>
        <w:jc w:val="left"/>
        <w:rPr>
          <w:rFonts w:ascii="arial" w:hAnsi="arial"/>
          <w:color w:val="1070B8"/>
          <w:sz w:val="22"/>
        </w:rPr>
      </w:pPr>
      <w:r>
        <w:rPr>
          <w:rFonts w:ascii="arial" w:hAnsi="arial"/>
          <w:color w:val="1070B8"/>
          <w:sz w:val="22"/>
        </w:rPr>
        <w:t xml:space="preserve">Volunteerism </w:t>
      </w:r>
    </w:p>
    <w:p>
      <w:pPr>
        <w:pStyle w:val="TextBody"/>
        <w:bidi w:val="0"/>
        <w:spacing w:before="240" w:after="0"/>
        <w:jc w:val="left"/>
        <w:rPr>
          <w:rFonts w:ascii="arial" w:hAnsi="arial"/>
          <w:sz w:val="20"/>
        </w:rPr>
      </w:pPr>
      <w:r>
        <w:rPr>
          <w:rFonts w:ascii="arial" w:hAnsi="arial"/>
          <w:sz w:val="20"/>
        </w:rPr>
        <w:t xml:space="preserve">Our branches serve communities nationwide and we are committed to investing in the communities where our employees live and work. We have numerous community engagement programs and encourage our employees to volunteer at nonprofit organizations in their local communities. Our employees contribute their time, passion and contributions to a wide variety of philanthropic organizations and we are proud to partner with them in their efforts.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57"/>
        <w:gridCol w:w="60"/>
        <w:gridCol w:w="277"/>
        <w:gridCol w:w="60"/>
        <w:gridCol w:w="4851"/>
      </w:tblGrid>
      <w:tr>
        <w:trPr/>
        <w:tc>
          <w:tcPr>
            <w:tcW w:w="4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1" w:type="dxa"/>
            <w:tcBorders/>
            <w:vAlign w:val="center"/>
          </w:tcPr>
          <w:p>
            <w:pPr>
              <w:pStyle w:val="TableContents"/>
              <w:bidi w:val="0"/>
              <w:spacing w:before="0" w:after="283"/>
              <w:jc w:val="left"/>
              <w:rPr>
                <w:sz w:val="4"/>
                <w:szCs w:val="4"/>
              </w:rPr>
            </w:pPr>
            <w:r>
              <w:rPr>
                <w:sz w:val="4"/>
                <w:szCs w:val="4"/>
              </w:rPr>
            </w:r>
          </w:p>
        </w:tc>
      </w:tr>
      <w:tr>
        <w:trPr/>
        <w:tc>
          <w:tcPr>
            <w:tcW w:w="4957" w:type="dxa"/>
            <w:tcBorders/>
            <w:vAlign w:val="center"/>
          </w:tcPr>
          <w:p>
            <w:pPr>
              <w:pStyle w:val="TableContents"/>
              <w:bidi w:val="0"/>
              <w:spacing w:before="0" w:after="0"/>
              <w:jc w:val="center"/>
              <w:rPr/>
            </w:pPr>
            <w:r>
              <w:rPr/>
              <w:drawing>
                <wp:inline distT="0" distB="0" distL="0" distR="0">
                  <wp:extent cx="2666365" cy="2000885"/>
                  <wp:effectExtent l="0" t="0" r="0" b="0"/>
                  <wp:docPr id="6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3" descr=""/>
                          <pic:cNvPicPr>
                            <a:picLocks noChangeAspect="1" noChangeArrowheads="1"/>
                          </pic:cNvPicPr>
                        </pic:nvPicPr>
                        <pic:blipFill>
                          <a:blip r:embed="rId64"/>
                          <a:stretch>
                            <a:fillRect/>
                          </a:stretch>
                        </pic:blipFill>
                        <pic:spPr bwMode="auto">
                          <a:xfrm>
                            <a:off x="0" y="0"/>
                            <a:ext cx="2666365" cy="200088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1" w:type="dxa"/>
            <w:tcBorders/>
            <w:vAlign w:val="center"/>
          </w:tcPr>
          <w:p>
            <w:pPr>
              <w:pStyle w:val="TableContents"/>
              <w:bidi w:val="0"/>
              <w:spacing w:before="0" w:after="0"/>
              <w:jc w:val="center"/>
              <w:rPr/>
            </w:pPr>
            <w:r>
              <w:rPr/>
              <w:drawing>
                <wp:inline distT="0" distB="0" distL="0" distR="0">
                  <wp:extent cx="2666365" cy="2150745"/>
                  <wp:effectExtent l="0" t="0" r="0" b="0"/>
                  <wp:docPr id="6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4" descr=""/>
                          <pic:cNvPicPr>
                            <a:picLocks noChangeAspect="1" noChangeArrowheads="1"/>
                          </pic:cNvPicPr>
                        </pic:nvPicPr>
                        <pic:blipFill>
                          <a:blip r:embed="rId65"/>
                          <a:stretch>
                            <a:fillRect/>
                          </a:stretch>
                        </pic:blipFill>
                        <pic:spPr bwMode="auto">
                          <a:xfrm>
                            <a:off x="0" y="0"/>
                            <a:ext cx="2666365" cy="215074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4957" w:type="dxa"/>
            <w:tcBorders/>
            <w:vAlign w:val="center"/>
          </w:tcPr>
          <w:p>
            <w:pPr>
              <w:pStyle w:val="TableContents"/>
              <w:pBdr>
                <w:bottom w:val="single" w:sz="12" w:space="1" w:color="1070B8"/>
              </w:pBdr>
              <w:bidi w:val="0"/>
              <w:spacing w:lineRule="atLeast" w:line="142" w:before="0" w:after="40"/>
              <w:jc w:val="left"/>
              <w:rPr/>
            </w:pPr>
            <w:r>
              <w:rPr/>
              <w:t> </w:t>
            </w:r>
          </w:p>
          <w:p>
            <w:pPr>
              <w:pStyle w:val="TableContents"/>
              <w:bidi w:val="0"/>
              <w:spacing w:before="0" w:after="20"/>
              <w:jc w:val="left"/>
              <w:rPr>
                <w:rFonts w:ascii="arial" w:hAnsi="arial"/>
                <w:color w:val="1F295C"/>
                <w:sz w:val="20"/>
              </w:rPr>
            </w:pPr>
            <w:r>
              <w:rPr>
                <w:rFonts w:ascii="arial" w:hAnsi="arial"/>
                <w:i/>
                <w:color w:val="1F295C"/>
                <w:sz w:val="20"/>
              </w:rPr>
              <w:t>In 2024,</w:t>
            </w:r>
            <w:r>
              <w:rPr>
                <w:rFonts w:ascii="arial" w:hAnsi="arial"/>
                <w:color w:val="1F295C"/>
                <w:sz w:val="20"/>
              </w:rPr>
              <w:t xml:space="preserve"> </w:t>
            </w:r>
            <w:r>
              <w:rPr>
                <w:rFonts w:ascii="arial" w:hAnsi="arial"/>
                <w:i/>
                <w:color w:val="1F295C"/>
                <w:sz w:val="20"/>
              </w:rPr>
              <w:t>employees helped</w:t>
            </w:r>
            <w:r>
              <w:rPr>
                <w:rFonts w:ascii="arial" w:hAnsi="arial"/>
                <w:color w:val="1F295C"/>
                <w:sz w:val="20"/>
              </w:rPr>
              <w:t xml:space="preserve"> </w:t>
            </w:r>
            <w:r>
              <w:rPr>
                <w:rFonts w:ascii="arial" w:hAnsi="arial"/>
                <w:i/>
                <w:color w:val="1F295C"/>
                <w:sz w:val="20"/>
              </w:rPr>
              <w:t>Star House organize and sort donations</w:t>
            </w:r>
            <w:r>
              <w:rPr>
                <w:rFonts w:ascii="arial" w:hAnsi="arial"/>
                <w:color w:val="1F295C"/>
                <w:sz w:val="20"/>
              </w:rPr>
              <w:t xml:space="preserve"> </w:t>
            </w:r>
            <w:r>
              <w:rPr>
                <w:rFonts w:ascii="arial" w:hAnsi="arial"/>
                <w:i/>
                <w:color w:val="1F295C"/>
                <w:sz w:val="20"/>
              </w:rPr>
              <w:t>for the drop-in center. Star House operates Central Ohio’s only 24/7/365 drop-in center where homeless youth are provided access to food, clothing, hygiene items, laundry facilities, showers, and a safe place. IBP also supports Star House financially</w:t>
            </w:r>
            <w:r>
              <w:rPr>
                <w:rFonts w:ascii="arial" w:hAnsi="arial"/>
                <w:color w:val="1F295C"/>
                <w:sz w:val="20"/>
              </w:rPr>
              <w:t xml:space="preserve"> </w:t>
            </w:r>
            <w:r>
              <w:rPr>
                <w:rFonts w:ascii="arial" w:hAnsi="arial"/>
                <w:i/>
                <w:color w:val="1F295C"/>
                <w:sz w:val="20"/>
              </w:rPr>
              <w:t>in its</w:t>
            </w:r>
            <w:r>
              <w:rPr>
                <w:rFonts w:ascii="arial" w:hAnsi="arial"/>
                <w:color w:val="1F295C"/>
                <w:sz w:val="20"/>
              </w:rPr>
              <w:t xml:space="preserve"> </w:t>
            </w:r>
            <w:r>
              <w:rPr>
                <w:rFonts w:ascii="arial" w:hAnsi="arial"/>
                <w:i/>
                <w:color w:val="1F295C"/>
                <w:sz w:val="20"/>
              </w:rPr>
              <w:t>efforts to support teens and young adults as they exit homelessness and gain stability.</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1" w:type="dxa"/>
            <w:tcBorders/>
            <w:vAlign w:val="center"/>
          </w:tcPr>
          <w:p>
            <w:pPr>
              <w:pStyle w:val="TableContents"/>
              <w:pBdr>
                <w:bottom w:val="single" w:sz="12" w:space="1" w:color="1070B8"/>
              </w:pBdr>
              <w:bidi w:val="0"/>
              <w:spacing w:lineRule="atLeast" w:line="142" w:before="0" w:after="40"/>
              <w:jc w:val="left"/>
              <w:rPr/>
            </w:pPr>
            <w:r>
              <w:rPr/>
              <w:t> </w:t>
            </w:r>
          </w:p>
          <w:p>
            <w:pPr>
              <w:pStyle w:val="TableContents"/>
              <w:bidi w:val="0"/>
              <w:spacing w:before="0" w:after="20"/>
              <w:jc w:val="left"/>
              <w:rPr>
                <w:rFonts w:ascii="arial" w:hAnsi="arial"/>
                <w:color w:val="1F295C"/>
                <w:sz w:val="20"/>
              </w:rPr>
            </w:pPr>
            <w:r>
              <w:rPr>
                <w:rFonts w:ascii="arial" w:hAnsi="arial"/>
                <w:i/>
                <w:color w:val="1F295C"/>
                <w:sz w:val="20"/>
              </w:rPr>
              <w:t>Our</w:t>
            </w:r>
            <w:r>
              <w:rPr>
                <w:rFonts w:ascii="arial" w:hAnsi="arial"/>
                <w:color w:val="1F295C"/>
                <w:sz w:val="20"/>
              </w:rPr>
              <w:t xml:space="preserve"> </w:t>
            </w:r>
            <w:r>
              <w:rPr>
                <w:rFonts w:ascii="arial" w:hAnsi="arial"/>
                <w:i/>
                <w:color w:val="1F295C"/>
                <w:sz w:val="20"/>
              </w:rPr>
              <w:t>employees carved</w:t>
            </w:r>
            <w:r>
              <w:rPr>
                <w:rFonts w:ascii="arial" w:hAnsi="arial"/>
                <w:color w:val="1F295C"/>
                <w:sz w:val="20"/>
              </w:rPr>
              <w:t xml:space="preserve"> </w:t>
            </w:r>
            <w:r>
              <w:rPr>
                <w:rFonts w:ascii="arial" w:hAnsi="arial"/>
                <w:i/>
                <w:color w:val="1F295C"/>
                <w:sz w:val="20"/>
              </w:rPr>
              <w:t>pumpkins for the annual Pumpkins A Glow exhibit at the Franklin Park Conservatory and Botanical Gardens. Pumpkins A Glow raises funds to help the conservatory offer horticulture, art and</w:t>
            </w:r>
            <w:r>
              <w:rPr>
                <w:rFonts w:ascii="arial" w:hAnsi="arial"/>
                <w:color w:val="1F295C"/>
                <w:sz w:val="20"/>
              </w:rPr>
              <w:t xml:space="preserve"> </w:t>
            </w:r>
            <w:r>
              <w:rPr>
                <w:rFonts w:ascii="arial" w:hAnsi="arial"/>
                <w:i/>
                <w:color w:val="1F295C"/>
                <w:sz w:val="20"/>
              </w:rPr>
              <w:t>nature-based exhibitions and educational programs. The pumpkins carved by our</w:t>
            </w:r>
            <w:r>
              <w:rPr>
                <w:rFonts w:ascii="arial" w:hAnsi="arial"/>
                <w:color w:val="1F295C"/>
                <w:sz w:val="20"/>
              </w:rPr>
              <w:t xml:space="preserve"> </w:t>
            </w:r>
            <w:r>
              <w:rPr>
                <w:rFonts w:ascii="arial" w:hAnsi="arial"/>
                <w:i/>
                <w:color w:val="1F295C"/>
                <w:sz w:val="20"/>
              </w:rPr>
              <w:t>team were among thousands on display during the 2024 event.</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Responsibility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1070B8"/>
          <w:sz w:val="22"/>
        </w:rPr>
      </w:pPr>
      <w:r>
        <w:rPr>
          <w:rFonts w:ascii="arial" w:hAnsi="arial"/>
          <w:color w:val="1070B8"/>
          <w:sz w:val="22"/>
        </w:rPr>
        <w:t xml:space="preserve">Installed Building Products Foundation </w:t>
      </w:r>
    </w:p>
    <w:p>
      <w:pPr>
        <w:pStyle w:val="TextBody"/>
        <w:bidi w:val="0"/>
        <w:spacing w:before="240" w:after="0"/>
        <w:jc w:val="left"/>
        <w:rPr>
          <w:rFonts w:ascii="arial" w:hAnsi="arial"/>
          <w:sz w:val="20"/>
        </w:rPr>
      </w:pPr>
      <w:r>
        <w:rPr>
          <w:rFonts w:ascii="arial" w:hAnsi="arial"/>
          <w:sz w:val="20"/>
        </w:rPr>
        <w:t xml:space="preserve">In 2019, we established the Installed Building Products Foundation (“Foundation”). The Foundation Advisory Board consists of non-executive employees representing all of our geographic regions in a wide range of job categories and is overseen by the CHC Committee. The Foundation sponsors programs focusing on education, community initiatives, employee financial assistance and housing-related needs. Dollar amounts in the table below are approximate and from Foundation inception.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426"/>
        <w:gridCol w:w="120"/>
        <w:gridCol w:w="7273"/>
        <w:gridCol w:w="120"/>
        <w:gridCol w:w="1131"/>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75" w:type="dxa"/>
            <w:tcBorders>
              <w:top w:val="single" w:sz="12" w:space="0" w:color="0070C0"/>
            </w:tcBorders>
            <w:shd w:fill="ACB9CA" w:val="clear"/>
            <w:tcMar>
              <w:top w:w="28" w:type="dxa"/>
            </w:tcMar>
            <w:vAlign w:val="center"/>
          </w:tcPr>
          <w:p>
            <w:pPr>
              <w:pStyle w:val="TableContents"/>
              <w:bidi w:val="0"/>
              <w:spacing w:before="0" w:after="283"/>
              <w:jc w:val="left"/>
              <w:rPr/>
            </w:pPr>
            <w:r>
              <w:rPr/>
              <w:t> </w:t>
            </w:r>
          </w:p>
        </w:tc>
        <w:tc>
          <w:tcPr>
            <w:tcW w:w="1486" w:type="dxa"/>
            <w:gridSpan w:val="2"/>
            <w:tcBorders>
              <w:top w:val="single" w:sz="12" w:space="0" w:color="0070C0"/>
            </w:tcBorders>
            <w:shd w:fill="ACB9CA" w:val="clear"/>
            <w:tcMar>
              <w:top w:w="28" w:type="dxa"/>
            </w:tcMar>
            <w:vAlign w:val="center"/>
          </w:tcPr>
          <w:p>
            <w:pPr>
              <w:pStyle w:val="TableContents"/>
              <w:bidi w:val="0"/>
              <w:spacing w:before="0" w:after="283"/>
              <w:jc w:val="left"/>
              <w:rPr/>
            </w:pPr>
            <w:r>
              <w:rPr/>
              <w:t> </w:t>
            </w:r>
          </w:p>
        </w:tc>
        <w:tc>
          <w:tcPr>
            <w:tcW w:w="7393" w:type="dxa"/>
            <w:gridSpan w:val="2"/>
            <w:tcBorders>
              <w:top w:val="single" w:sz="12" w:space="0" w:color="0070C0"/>
            </w:tcBorders>
            <w:tcMar>
              <w:top w:w="28" w:type="dxa"/>
            </w:tcMar>
            <w:vAlign w:val="center"/>
          </w:tcPr>
          <w:p>
            <w:pPr>
              <w:pStyle w:val="TableContents"/>
              <w:bidi w:val="0"/>
              <w:spacing w:before="0" w:after="283"/>
              <w:jc w:val="left"/>
              <w:rPr/>
            </w:pPr>
            <w:r>
              <w:rPr/>
              <w:t> </w:t>
            </w:r>
          </w:p>
        </w:tc>
        <w:tc>
          <w:tcPr>
            <w:tcW w:w="1251" w:type="dxa"/>
            <w:gridSpan w:val="2"/>
            <w:tcBorders>
              <w:top w:val="single" w:sz="12" w:space="0" w:color="0070C0"/>
            </w:tcBorders>
            <w:shd w:fill="DEEAF6" w:val="clear"/>
            <w:tcMar>
              <w:top w:w="28" w:type="dxa"/>
            </w:tcMar>
            <w:vAlign w:val="center"/>
          </w:tcPr>
          <w:p>
            <w:pPr>
              <w:pStyle w:val="TableContents"/>
              <w:bidi w:val="0"/>
              <w:spacing w:before="0" w:after="283"/>
              <w:jc w:val="left"/>
              <w:rPr/>
            </w:pPr>
            <w:r>
              <w:rPr/>
              <w:t> </w:t>
            </w:r>
          </w:p>
        </w:tc>
      </w:tr>
      <w:tr>
        <w:trPr/>
        <w:tc>
          <w:tcPr>
            <w:tcW w:w="75" w:type="dxa"/>
            <w:vMerge w:val="restart"/>
            <w:tcBorders/>
            <w:shd w:fill="ACB9CA" w:val="clear"/>
            <w:vAlign w:val="center"/>
          </w:tcPr>
          <w:p>
            <w:pPr>
              <w:pStyle w:val="TableContents"/>
              <w:bidi w:val="0"/>
              <w:spacing w:before="0" w:after="283"/>
              <w:jc w:val="left"/>
              <w:rPr>
                <w:sz w:val="4"/>
                <w:szCs w:val="4"/>
              </w:rPr>
            </w:pPr>
            <w:r>
              <w:rPr>
                <w:sz w:val="4"/>
                <w:szCs w:val="4"/>
              </w:rPr>
            </w:r>
          </w:p>
        </w:tc>
        <w:tc>
          <w:tcPr>
            <w:tcW w:w="60" w:type="dxa"/>
            <w:vMerge w:val="restart"/>
            <w:tcBorders/>
            <w:shd w:fill="ACB9CA" w:val="clear"/>
            <w:vAlign w:val="center"/>
          </w:tcPr>
          <w:p>
            <w:pPr>
              <w:pStyle w:val="TableContents"/>
              <w:bidi w:val="0"/>
              <w:spacing w:before="0" w:after="283"/>
              <w:jc w:val="left"/>
              <w:rPr/>
            </w:pPr>
            <w:r>
              <w:rPr/>
              <w:t> </w:t>
            </w:r>
          </w:p>
        </w:tc>
        <w:tc>
          <w:tcPr>
            <w:tcW w:w="1426" w:type="dxa"/>
            <w:vMerge w:val="restart"/>
            <w:tcBorders/>
            <w:shd w:fill="ACB9CA" w:val="clear"/>
            <w:vAlign w:val="center"/>
          </w:tcPr>
          <w:p>
            <w:pPr>
              <w:pStyle w:val="TableContents"/>
              <w:bidi w:val="0"/>
              <w:spacing w:before="0" w:after="283"/>
              <w:jc w:val="left"/>
              <w:rPr>
                <w:b/>
                <w:i/>
                <w:color w:val="002060"/>
              </w:rPr>
            </w:pPr>
            <w:r>
              <w:rPr>
                <w:b/>
                <w:i/>
                <w:color w:val="002060"/>
              </w:rPr>
              <w:t>Scholarship Program</w:t>
            </w:r>
          </w:p>
        </w:tc>
        <w:tc>
          <w:tcPr>
            <w:tcW w:w="120" w:type="dxa"/>
            <w:vMerge w:val="restart"/>
            <w:tcBorders/>
            <w:vAlign w:val="center"/>
          </w:tcPr>
          <w:p>
            <w:pPr>
              <w:pStyle w:val="TableContents"/>
              <w:bidi w:val="0"/>
              <w:spacing w:before="0" w:after="283"/>
              <w:jc w:val="left"/>
              <w:rPr/>
            </w:pPr>
            <w:r>
              <w:rPr/>
              <w:t>  </w:t>
            </w:r>
          </w:p>
        </w:tc>
        <w:tc>
          <w:tcPr>
            <w:tcW w:w="7273" w:type="dxa"/>
            <w:vMerge w:val="restart"/>
            <w:tcBorders/>
            <w:vAlign w:val="center"/>
          </w:tcPr>
          <w:p>
            <w:pPr>
              <w:pStyle w:val="TableContents"/>
              <w:bidi w:val="0"/>
              <w:spacing w:before="0" w:after="0"/>
              <w:jc w:val="left"/>
              <w:rPr>
                <w:rFonts w:ascii="arial" w:hAnsi="arial"/>
                <w:sz w:val="20"/>
              </w:rPr>
            </w:pPr>
            <w:r>
              <w:rPr>
                <w:rFonts w:ascii="arial" w:hAnsi="arial"/>
                <w:sz w:val="20"/>
              </w:rPr>
              <w:t>The Building for Tomorrow Scholarship Program awards renewable scholarships of up to $5,000 to employees and their dependents attending accredited vocational or trade schools and universities or colleges. Selection criteria include academic performance, financial need and character reference letters. Preference is given to construction-related fields of study. We have awarded scholarships for associate’s degrees, certification and vocational programs, bachelor’s degrees, master’s degrees and other post-graduate programs.</w:t>
            </w:r>
          </w:p>
          <w:p>
            <w:pPr>
              <w:pStyle w:val="TableContents"/>
              <w:bidi w:val="0"/>
              <w:spacing w:before="0" w:after="20"/>
              <w:jc w:val="left"/>
              <w:rPr/>
            </w:pPr>
            <w:r>
              <w:rPr/>
              <w:t> </w:t>
            </w:r>
          </w:p>
        </w:tc>
        <w:tc>
          <w:tcPr>
            <w:tcW w:w="120" w:type="dxa"/>
            <w:tcBorders>
              <w:bottom w:val="dashed" w:sz="6" w:space="0" w:color="1070B8"/>
            </w:tcBorders>
            <w:shd w:fill="DEEAF6" w:val="clear"/>
            <w:tcMar>
              <w:bottom w:w="28" w:type="dxa"/>
            </w:tcMar>
            <w:vAlign w:val="center"/>
          </w:tcPr>
          <w:p>
            <w:pPr>
              <w:pStyle w:val="TableContents"/>
              <w:bidi w:val="0"/>
              <w:spacing w:before="0" w:after="283"/>
              <w:jc w:val="left"/>
              <w:rPr/>
            </w:pPr>
            <w:r>
              <w:rPr/>
              <w:t>  </w:t>
            </w:r>
          </w:p>
        </w:tc>
        <w:tc>
          <w:tcPr>
            <w:tcW w:w="1131" w:type="dxa"/>
            <w:tcBorders>
              <w:bottom w:val="dashed" w:sz="6" w:space="0" w:color="1070B8"/>
            </w:tcBorders>
            <w:shd w:fill="DEEAF6"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2060"/>
                <w:sz w:val="20"/>
              </w:rPr>
            </w:pPr>
            <w:r>
              <w:rPr>
                <w:rFonts w:ascii="arial" w:hAnsi="arial"/>
                <w:b/>
                <w:color w:val="002060"/>
                <w:sz w:val="20"/>
              </w:rPr>
              <w:t>$5.1 million</w:t>
            </w:r>
          </w:p>
          <w:p>
            <w:pPr>
              <w:pStyle w:val="TableContents"/>
              <w:bidi w:val="0"/>
              <w:spacing w:before="0" w:after="20"/>
              <w:jc w:val="center"/>
              <w:rPr>
                <w:rFonts w:ascii="arial" w:hAnsi="arial"/>
                <w:b/>
                <w:color w:val="002060"/>
                <w:sz w:val="20"/>
              </w:rPr>
            </w:pPr>
            <w:r>
              <w:rPr>
                <w:rFonts w:ascii="arial" w:hAnsi="arial"/>
                <w:b/>
                <w:color w:val="002060"/>
                <w:sz w:val="20"/>
              </w:rPr>
              <w:t>awarded</w:t>
            </w:r>
          </w:p>
        </w:tc>
      </w:tr>
      <w:tr>
        <w:trPr/>
        <w:tc>
          <w:tcPr>
            <w:tcW w:w="75" w:type="dxa"/>
            <w:vMerge w:val="continue"/>
            <w:tcBorders/>
            <w:shd w:fill="ACB9CA" w:val="clear"/>
            <w:vAlign w:val="center"/>
          </w:tcPr>
          <w:p>
            <w:pPr>
              <w:pStyle w:val="Normal"/>
              <w:bidi w:val="0"/>
              <w:jc w:val="left"/>
              <w:rPr/>
            </w:pPr>
            <w:r>
              <w:rPr/>
            </w:r>
          </w:p>
        </w:tc>
        <w:tc>
          <w:tcPr>
            <w:tcW w:w="60" w:type="dxa"/>
            <w:vMerge w:val="continue"/>
            <w:tcBorders/>
            <w:shd w:fill="ACB9CA" w:val="clear"/>
            <w:vAlign w:val="center"/>
          </w:tcPr>
          <w:p>
            <w:pPr>
              <w:pStyle w:val="Normal"/>
              <w:bidi w:val="0"/>
              <w:jc w:val="left"/>
              <w:rPr/>
            </w:pPr>
            <w:r>
              <w:rPr/>
            </w:r>
          </w:p>
        </w:tc>
        <w:tc>
          <w:tcPr>
            <w:tcW w:w="1426" w:type="dxa"/>
            <w:vMerge w:val="continue"/>
            <w:tcBorders/>
            <w:shd w:fill="ACB9CA" w:val="cle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7273" w:type="dxa"/>
            <w:vMerge w:val="continue"/>
            <w:tcBorders/>
            <w:vAlign w:val="center"/>
          </w:tcPr>
          <w:p>
            <w:pPr>
              <w:pStyle w:val="Normal"/>
              <w:bidi w:val="0"/>
              <w:jc w:val="left"/>
              <w:rPr/>
            </w:pPr>
            <w:r>
              <w:rPr/>
            </w:r>
          </w:p>
        </w:tc>
        <w:tc>
          <w:tcPr>
            <w:tcW w:w="120" w:type="dxa"/>
            <w:tcBorders/>
            <w:shd w:fill="DEEAF6" w:val="clear"/>
            <w:vAlign w:val="center"/>
          </w:tcPr>
          <w:p>
            <w:pPr>
              <w:pStyle w:val="TableContents"/>
              <w:bidi w:val="0"/>
              <w:spacing w:before="0" w:after="283"/>
              <w:jc w:val="left"/>
              <w:rPr/>
            </w:pPr>
            <w:r>
              <w:rPr/>
              <w:t>  </w:t>
            </w:r>
          </w:p>
        </w:tc>
        <w:tc>
          <w:tcPr>
            <w:tcW w:w="1131" w:type="dxa"/>
            <w:tcBorders/>
            <w:shd w:fill="DEEAF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2060"/>
                <w:sz w:val="20"/>
              </w:rPr>
            </w:pPr>
            <w:r>
              <w:rPr>
                <w:rFonts w:ascii="arial" w:hAnsi="arial"/>
                <w:b/>
                <w:color w:val="002060"/>
                <w:sz w:val="20"/>
              </w:rPr>
              <w:t>423</w:t>
            </w:r>
          </w:p>
          <w:p>
            <w:pPr>
              <w:pStyle w:val="TableContents"/>
              <w:bidi w:val="0"/>
              <w:spacing w:before="0" w:after="20"/>
              <w:jc w:val="center"/>
              <w:rPr>
                <w:rFonts w:ascii="arial" w:hAnsi="arial"/>
                <w:b/>
                <w:color w:val="002060"/>
                <w:sz w:val="20"/>
              </w:rPr>
            </w:pPr>
            <w:r>
              <w:rPr>
                <w:rFonts w:ascii="arial" w:hAnsi="arial"/>
                <w:b/>
                <w:color w:val="002060"/>
                <w:sz w:val="20"/>
              </w:rPr>
              <w:t>grants</w:t>
            </w:r>
          </w:p>
        </w:tc>
      </w:tr>
      <w:tr>
        <w:trPr/>
        <w:tc>
          <w:tcPr>
            <w:tcW w:w="75" w:type="dxa"/>
            <w:tcBorders>
              <w:top w:val="single" w:sz="12" w:space="0" w:color="0070C0"/>
            </w:tcBorders>
            <w:shd w:fill="ACB9CA" w:val="clear"/>
            <w:tcMar>
              <w:top w:w="28" w:type="dxa"/>
            </w:tcMar>
            <w:vAlign w:val="center"/>
          </w:tcPr>
          <w:p>
            <w:pPr>
              <w:pStyle w:val="TableContents"/>
              <w:bidi w:val="0"/>
              <w:spacing w:before="0" w:after="283"/>
              <w:jc w:val="left"/>
              <w:rPr/>
            </w:pPr>
            <w:r>
              <w:rPr/>
              <w:t> </w:t>
            </w:r>
          </w:p>
        </w:tc>
        <w:tc>
          <w:tcPr>
            <w:tcW w:w="1486" w:type="dxa"/>
            <w:gridSpan w:val="2"/>
            <w:tcBorders>
              <w:top w:val="single" w:sz="12" w:space="0" w:color="0070C0"/>
            </w:tcBorders>
            <w:shd w:fill="ACB9CA" w:val="clear"/>
            <w:tcMar>
              <w:top w:w="28" w:type="dxa"/>
            </w:tcMar>
            <w:vAlign w:val="center"/>
          </w:tcPr>
          <w:p>
            <w:pPr>
              <w:pStyle w:val="TableContents"/>
              <w:bidi w:val="0"/>
              <w:spacing w:before="0" w:after="283"/>
              <w:jc w:val="left"/>
              <w:rPr/>
            </w:pPr>
            <w:r>
              <w:rPr/>
              <w:t> </w:t>
            </w:r>
          </w:p>
        </w:tc>
        <w:tc>
          <w:tcPr>
            <w:tcW w:w="7393" w:type="dxa"/>
            <w:gridSpan w:val="2"/>
            <w:tcBorders>
              <w:top w:val="single" w:sz="12" w:space="0" w:color="0070C0"/>
            </w:tcBorders>
            <w:tcMar>
              <w:top w:w="28" w:type="dxa"/>
            </w:tcMar>
            <w:vAlign w:val="center"/>
          </w:tcPr>
          <w:p>
            <w:pPr>
              <w:pStyle w:val="TableContents"/>
              <w:bidi w:val="0"/>
              <w:spacing w:before="0" w:after="283"/>
              <w:jc w:val="left"/>
              <w:rPr/>
            </w:pPr>
            <w:r>
              <w:rPr/>
              <w:t> </w:t>
            </w:r>
          </w:p>
        </w:tc>
        <w:tc>
          <w:tcPr>
            <w:tcW w:w="1251" w:type="dxa"/>
            <w:gridSpan w:val="2"/>
            <w:tcBorders>
              <w:top w:val="single" w:sz="12" w:space="0" w:color="0070C0"/>
            </w:tcBorders>
            <w:shd w:fill="DEEAF6" w:val="clear"/>
            <w:tcMar>
              <w:top w:w="28" w:type="dxa"/>
            </w:tcMar>
            <w:vAlign w:val="center"/>
          </w:tcPr>
          <w:p>
            <w:pPr>
              <w:pStyle w:val="TableContents"/>
              <w:bidi w:val="0"/>
              <w:spacing w:before="0" w:after="283"/>
              <w:jc w:val="left"/>
              <w:rPr/>
            </w:pPr>
            <w:r>
              <w:rPr/>
              <w:t> </w:t>
            </w:r>
          </w:p>
        </w:tc>
      </w:tr>
      <w:tr>
        <w:trPr/>
        <w:tc>
          <w:tcPr>
            <w:tcW w:w="75" w:type="dxa"/>
            <w:vMerge w:val="restart"/>
            <w:tcBorders/>
            <w:shd w:fill="ACB9CA" w:val="clear"/>
            <w:vAlign w:val="center"/>
          </w:tcPr>
          <w:p>
            <w:pPr>
              <w:pStyle w:val="TableContents"/>
              <w:bidi w:val="0"/>
              <w:spacing w:before="0" w:after="283"/>
              <w:jc w:val="left"/>
              <w:rPr>
                <w:sz w:val="4"/>
                <w:szCs w:val="4"/>
              </w:rPr>
            </w:pPr>
            <w:r>
              <w:rPr>
                <w:sz w:val="4"/>
                <w:szCs w:val="4"/>
              </w:rPr>
            </w:r>
          </w:p>
        </w:tc>
        <w:tc>
          <w:tcPr>
            <w:tcW w:w="60" w:type="dxa"/>
            <w:vMerge w:val="restart"/>
            <w:tcBorders/>
            <w:shd w:fill="ACB9CA" w:val="clear"/>
            <w:vAlign w:val="center"/>
          </w:tcPr>
          <w:p>
            <w:pPr>
              <w:pStyle w:val="TableContents"/>
              <w:bidi w:val="0"/>
              <w:spacing w:before="0" w:after="283"/>
              <w:jc w:val="left"/>
              <w:rPr/>
            </w:pPr>
            <w:r>
              <w:rPr/>
              <w:t> </w:t>
            </w:r>
          </w:p>
        </w:tc>
        <w:tc>
          <w:tcPr>
            <w:tcW w:w="1426" w:type="dxa"/>
            <w:vMerge w:val="restart"/>
            <w:tcBorders/>
            <w:shd w:fill="ACB9CA" w:val="clear"/>
            <w:vAlign w:val="center"/>
          </w:tcPr>
          <w:p>
            <w:pPr>
              <w:pStyle w:val="TableContents"/>
              <w:bidi w:val="0"/>
              <w:spacing w:before="0" w:after="283"/>
              <w:jc w:val="left"/>
              <w:rPr>
                <w:b/>
                <w:i/>
                <w:color w:val="002060"/>
              </w:rPr>
            </w:pPr>
            <w:r>
              <w:rPr>
                <w:b/>
                <w:i/>
                <w:color w:val="002060"/>
              </w:rPr>
              <w:t>Charitable Giving Match</w:t>
            </w:r>
          </w:p>
        </w:tc>
        <w:tc>
          <w:tcPr>
            <w:tcW w:w="120" w:type="dxa"/>
            <w:vMerge w:val="restart"/>
            <w:tcBorders/>
            <w:vAlign w:val="center"/>
          </w:tcPr>
          <w:p>
            <w:pPr>
              <w:pStyle w:val="TableContents"/>
              <w:bidi w:val="0"/>
              <w:spacing w:before="0" w:after="283"/>
              <w:jc w:val="left"/>
              <w:rPr/>
            </w:pPr>
            <w:r>
              <w:rPr/>
              <w:t>  </w:t>
            </w:r>
          </w:p>
        </w:tc>
        <w:tc>
          <w:tcPr>
            <w:tcW w:w="7273" w:type="dxa"/>
            <w:vMerge w:val="restart"/>
            <w:tcBorders/>
            <w:vAlign w:val="center"/>
          </w:tcPr>
          <w:p>
            <w:pPr>
              <w:pStyle w:val="TableContents"/>
              <w:bidi w:val="0"/>
              <w:spacing w:before="0" w:after="283"/>
              <w:jc w:val="left"/>
              <w:rPr/>
            </w:pPr>
            <w:r>
              <w:rPr/>
              <w:t>Our Foundation matches cash gifts by employees of up to $500 per year or volunteer time of up to 25 hours ($20 per hour). Eligible organizations include tax-exempt public charities, nonprofit colleges, universities, hospitals and medical facilities and community service programs.</w:t>
            </w:r>
          </w:p>
        </w:tc>
        <w:tc>
          <w:tcPr>
            <w:tcW w:w="120" w:type="dxa"/>
            <w:tcBorders>
              <w:bottom w:val="dashed" w:sz="6" w:space="0" w:color="1070B8"/>
            </w:tcBorders>
            <w:shd w:fill="DEEAF6" w:val="clear"/>
            <w:tcMar>
              <w:bottom w:w="28" w:type="dxa"/>
            </w:tcMar>
            <w:vAlign w:val="center"/>
          </w:tcPr>
          <w:p>
            <w:pPr>
              <w:pStyle w:val="TableContents"/>
              <w:bidi w:val="0"/>
              <w:spacing w:before="0" w:after="283"/>
              <w:jc w:val="left"/>
              <w:rPr/>
            </w:pPr>
            <w:r>
              <w:rPr/>
              <w:t>  </w:t>
            </w:r>
          </w:p>
        </w:tc>
        <w:tc>
          <w:tcPr>
            <w:tcW w:w="1131" w:type="dxa"/>
            <w:tcBorders>
              <w:bottom w:val="dashed" w:sz="6" w:space="0" w:color="1070B8"/>
            </w:tcBorders>
            <w:shd w:fill="DEEAF6"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2060"/>
                <w:sz w:val="20"/>
              </w:rPr>
            </w:pPr>
            <w:r>
              <w:rPr>
                <w:rFonts w:ascii="arial" w:hAnsi="arial"/>
                <w:b/>
                <w:color w:val="002060"/>
                <w:sz w:val="20"/>
              </w:rPr>
              <w:t>$48,936</w:t>
            </w:r>
          </w:p>
          <w:p>
            <w:pPr>
              <w:pStyle w:val="TableContents"/>
              <w:bidi w:val="0"/>
              <w:spacing w:before="0" w:after="0"/>
              <w:jc w:val="center"/>
              <w:rPr>
                <w:rFonts w:ascii="arial" w:hAnsi="arial"/>
                <w:b/>
                <w:color w:val="002060"/>
                <w:sz w:val="20"/>
              </w:rPr>
            </w:pPr>
            <w:r>
              <w:rPr>
                <w:rFonts w:ascii="arial" w:hAnsi="arial"/>
                <w:b/>
                <w:color w:val="002060"/>
                <w:sz w:val="20"/>
              </w:rPr>
              <w:t>Matched</w:t>
            </w:r>
          </w:p>
          <w:p>
            <w:pPr>
              <w:pStyle w:val="TableContents"/>
              <w:bidi w:val="0"/>
              <w:spacing w:before="0" w:after="20"/>
              <w:jc w:val="left"/>
              <w:rPr/>
            </w:pPr>
            <w:r>
              <w:rPr/>
              <w:t> </w:t>
            </w:r>
          </w:p>
        </w:tc>
      </w:tr>
      <w:tr>
        <w:trPr/>
        <w:tc>
          <w:tcPr>
            <w:tcW w:w="75" w:type="dxa"/>
            <w:vMerge w:val="continue"/>
            <w:tcBorders/>
            <w:shd w:fill="ACB9CA" w:val="clear"/>
            <w:vAlign w:val="center"/>
          </w:tcPr>
          <w:p>
            <w:pPr>
              <w:pStyle w:val="Normal"/>
              <w:bidi w:val="0"/>
              <w:jc w:val="left"/>
              <w:rPr/>
            </w:pPr>
            <w:r>
              <w:rPr/>
            </w:r>
          </w:p>
        </w:tc>
        <w:tc>
          <w:tcPr>
            <w:tcW w:w="60" w:type="dxa"/>
            <w:vMerge w:val="continue"/>
            <w:tcBorders/>
            <w:shd w:fill="ACB9CA" w:val="clear"/>
            <w:vAlign w:val="center"/>
          </w:tcPr>
          <w:p>
            <w:pPr>
              <w:pStyle w:val="Normal"/>
              <w:bidi w:val="0"/>
              <w:jc w:val="left"/>
              <w:rPr/>
            </w:pPr>
            <w:r>
              <w:rPr/>
            </w:r>
          </w:p>
        </w:tc>
        <w:tc>
          <w:tcPr>
            <w:tcW w:w="1426" w:type="dxa"/>
            <w:vMerge w:val="continue"/>
            <w:tcBorders/>
            <w:shd w:fill="ACB9CA" w:val="cle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7273" w:type="dxa"/>
            <w:vMerge w:val="continue"/>
            <w:tcBorders/>
            <w:vAlign w:val="center"/>
          </w:tcPr>
          <w:p>
            <w:pPr>
              <w:pStyle w:val="Normal"/>
              <w:bidi w:val="0"/>
              <w:jc w:val="left"/>
              <w:rPr/>
            </w:pPr>
            <w:r>
              <w:rPr/>
            </w:r>
          </w:p>
        </w:tc>
        <w:tc>
          <w:tcPr>
            <w:tcW w:w="120" w:type="dxa"/>
            <w:tcBorders/>
            <w:shd w:fill="DEEAF6" w:val="clear"/>
            <w:vAlign w:val="center"/>
          </w:tcPr>
          <w:p>
            <w:pPr>
              <w:pStyle w:val="TableContents"/>
              <w:bidi w:val="0"/>
              <w:spacing w:before="0" w:after="283"/>
              <w:jc w:val="left"/>
              <w:rPr/>
            </w:pPr>
            <w:r>
              <w:rPr/>
              <w:t>  </w:t>
            </w:r>
          </w:p>
        </w:tc>
        <w:tc>
          <w:tcPr>
            <w:tcW w:w="1131" w:type="dxa"/>
            <w:tcBorders/>
            <w:shd w:fill="DEEAF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2060"/>
                <w:sz w:val="20"/>
              </w:rPr>
            </w:pPr>
            <w:r>
              <w:rPr>
                <w:rFonts w:ascii="arial" w:hAnsi="arial"/>
                <w:b/>
                <w:color w:val="002060"/>
                <w:sz w:val="20"/>
              </w:rPr>
              <w:t>137</w:t>
            </w:r>
          </w:p>
          <w:p>
            <w:pPr>
              <w:pStyle w:val="TableContents"/>
              <w:bidi w:val="0"/>
              <w:spacing w:before="0" w:after="0"/>
              <w:jc w:val="center"/>
              <w:rPr>
                <w:rFonts w:ascii="arial" w:hAnsi="arial"/>
                <w:b/>
                <w:color w:val="002060"/>
                <w:sz w:val="20"/>
              </w:rPr>
            </w:pPr>
            <w:r>
              <w:rPr>
                <w:rFonts w:ascii="arial" w:hAnsi="arial"/>
                <w:b/>
                <w:color w:val="002060"/>
                <w:sz w:val="20"/>
              </w:rPr>
              <w:t>cash gifts</w:t>
            </w:r>
          </w:p>
          <w:p>
            <w:pPr>
              <w:pStyle w:val="TableContents"/>
              <w:bidi w:val="0"/>
              <w:spacing w:before="0" w:after="20"/>
              <w:jc w:val="left"/>
              <w:rPr/>
            </w:pPr>
            <w:r>
              <w:rPr/>
              <w:t> </w:t>
            </w:r>
          </w:p>
        </w:tc>
      </w:tr>
      <w:tr>
        <w:trPr/>
        <w:tc>
          <w:tcPr>
            <w:tcW w:w="75" w:type="dxa"/>
            <w:tcBorders>
              <w:top w:val="single" w:sz="12" w:space="0" w:color="0070C0"/>
            </w:tcBorders>
            <w:shd w:fill="ACB9CA" w:val="clear"/>
            <w:tcMar>
              <w:top w:w="28" w:type="dxa"/>
            </w:tcMar>
            <w:vAlign w:val="center"/>
          </w:tcPr>
          <w:p>
            <w:pPr>
              <w:pStyle w:val="TableContents"/>
              <w:bidi w:val="0"/>
              <w:spacing w:before="0" w:after="283"/>
              <w:jc w:val="left"/>
              <w:rPr/>
            </w:pPr>
            <w:r>
              <w:rPr/>
              <w:t> </w:t>
            </w:r>
          </w:p>
        </w:tc>
        <w:tc>
          <w:tcPr>
            <w:tcW w:w="1486" w:type="dxa"/>
            <w:gridSpan w:val="2"/>
            <w:tcBorders>
              <w:top w:val="single" w:sz="12" w:space="0" w:color="0070C0"/>
            </w:tcBorders>
            <w:shd w:fill="ACB9CA" w:val="clear"/>
            <w:tcMar>
              <w:top w:w="28" w:type="dxa"/>
            </w:tcMar>
            <w:vAlign w:val="center"/>
          </w:tcPr>
          <w:p>
            <w:pPr>
              <w:pStyle w:val="TableContents"/>
              <w:bidi w:val="0"/>
              <w:spacing w:before="0" w:after="283"/>
              <w:jc w:val="left"/>
              <w:rPr/>
            </w:pPr>
            <w:r>
              <w:rPr/>
              <w:t> </w:t>
            </w:r>
          </w:p>
        </w:tc>
        <w:tc>
          <w:tcPr>
            <w:tcW w:w="7393" w:type="dxa"/>
            <w:gridSpan w:val="2"/>
            <w:tcBorders>
              <w:top w:val="single" w:sz="12" w:space="0" w:color="0070C0"/>
            </w:tcBorders>
            <w:tcMar>
              <w:top w:w="28" w:type="dxa"/>
            </w:tcMar>
            <w:vAlign w:val="center"/>
          </w:tcPr>
          <w:p>
            <w:pPr>
              <w:pStyle w:val="TableContents"/>
              <w:bidi w:val="0"/>
              <w:spacing w:before="0" w:after="283"/>
              <w:jc w:val="left"/>
              <w:rPr/>
            </w:pPr>
            <w:r>
              <w:rPr/>
              <w:t> </w:t>
            </w:r>
          </w:p>
        </w:tc>
        <w:tc>
          <w:tcPr>
            <w:tcW w:w="1251" w:type="dxa"/>
            <w:gridSpan w:val="2"/>
            <w:tcBorders>
              <w:top w:val="single" w:sz="12" w:space="0" w:color="0070C0"/>
            </w:tcBorders>
            <w:shd w:fill="DEEAF6" w:val="clear"/>
            <w:tcMar>
              <w:top w:w="28" w:type="dxa"/>
            </w:tcMar>
            <w:vAlign w:val="center"/>
          </w:tcPr>
          <w:p>
            <w:pPr>
              <w:pStyle w:val="TableContents"/>
              <w:bidi w:val="0"/>
              <w:spacing w:before="0" w:after="283"/>
              <w:jc w:val="left"/>
              <w:rPr/>
            </w:pPr>
            <w:r>
              <w:rPr/>
              <w:t> </w:t>
            </w:r>
          </w:p>
        </w:tc>
      </w:tr>
      <w:tr>
        <w:trPr/>
        <w:tc>
          <w:tcPr>
            <w:tcW w:w="75" w:type="dxa"/>
            <w:vMerge w:val="restart"/>
            <w:tcBorders/>
            <w:shd w:fill="ACB9CA" w:val="clear"/>
            <w:vAlign w:val="center"/>
          </w:tcPr>
          <w:p>
            <w:pPr>
              <w:pStyle w:val="TableContents"/>
              <w:bidi w:val="0"/>
              <w:spacing w:before="0" w:after="283"/>
              <w:jc w:val="left"/>
              <w:rPr>
                <w:sz w:val="4"/>
                <w:szCs w:val="4"/>
              </w:rPr>
            </w:pPr>
            <w:r>
              <w:rPr>
                <w:sz w:val="4"/>
                <w:szCs w:val="4"/>
              </w:rPr>
            </w:r>
          </w:p>
        </w:tc>
        <w:tc>
          <w:tcPr>
            <w:tcW w:w="60" w:type="dxa"/>
            <w:vMerge w:val="restart"/>
            <w:tcBorders/>
            <w:shd w:fill="ACB9CA" w:val="clear"/>
            <w:vAlign w:val="center"/>
          </w:tcPr>
          <w:p>
            <w:pPr>
              <w:pStyle w:val="TableContents"/>
              <w:bidi w:val="0"/>
              <w:spacing w:before="0" w:after="283"/>
              <w:jc w:val="left"/>
              <w:rPr/>
            </w:pPr>
            <w:r>
              <w:rPr/>
              <w:t> </w:t>
            </w:r>
          </w:p>
        </w:tc>
        <w:tc>
          <w:tcPr>
            <w:tcW w:w="1426" w:type="dxa"/>
            <w:vMerge w:val="restart"/>
            <w:tcBorders/>
            <w:shd w:fill="ACB9CA" w:val="clear"/>
            <w:vAlign w:val="center"/>
          </w:tcPr>
          <w:p>
            <w:pPr>
              <w:pStyle w:val="TableContents"/>
              <w:bidi w:val="0"/>
              <w:spacing w:before="0" w:after="283"/>
              <w:jc w:val="left"/>
              <w:rPr>
                <w:b/>
                <w:i/>
                <w:color w:val="002060"/>
              </w:rPr>
            </w:pPr>
            <w:r>
              <w:rPr>
                <w:b/>
                <w:i/>
                <w:color w:val="002060"/>
              </w:rPr>
              <w:t>Employee Financial Assistance</w:t>
            </w:r>
          </w:p>
        </w:tc>
        <w:tc>
          <w:tcPr>
            <w:tcW w:w="120" w:type="dxa"/>
            <w:vMerge w:val="restart"/>
            <w:tcBorders/>
            <w:vAlign w:val="center"/>
          </w:tcPr>
          <w:p>
            <w:pPr>
              <w:pStyle w:val="TableContents"/>
              <w:bidi w:val="0"/>
              <w:spacing w:before="0" w:after="283"/>
              <w:jc w:val="left"/>
              <w:rPr/>
            </w:pPr>
            <w:r>
              <w:rPr/>
              <w:t>  </w:t>
            </w:r>
          </w:p>
        </w:tc>
        <w:tc>
          <w:tcPr>
            <w:tcW w:w="7273" w:type="dxa"/>
            <w:vMerge w:val="restart"/>
            <w:tcBorders/>
            <w:vAlign w:val="center"/>
          </w:tcPr>
          <w:p>
            <w:pPr>
              <w:pStyle w:val="TableContents"/>
              <w:bidi w:val="0"/>
              <w:spacing w:before="0" w:after="0"/>
              <w:jc w:val="left"/>
              <w:rPr>
                <w:rFonts w:ascii="arial" w:hAnsi="arial"/>
                <w:sz w:val="20"/>
              </w:rPr>
            </w:pPr>
            <w:r>
              <w:rPr>
                <w:rFonts w:ascii="arial" w:hAnsi="arial"/>
                <w:sz w:val="20"/>
              </w:rPr>
              <w:t>Our Employee Financial Assistance Program is designed to provide emergency financial assistance to our employees in times of crisis. The program provides for awards of up to $2,000 for food, shelter and other basic needs for employees who experience a qualifying event, such as a natural disaster or other acts of nature, house fire, accident, domestic abuse, crime, short term illness, death of a spouse, partner or dependent or military deployment.</w:t>
            </w:r>
          </w:p>
          <w:p>
            <w:pPr>
              <w:pStyle w:val="TableContents"/>
              <w:bidi w:val="0"/>
              <w:spacing w:before="0" w:after="20"/>
              <w:jc w:val="left"/>
              <w:rPr/>
            </w:pPr>
            <w:r>
              <w:rPr/>
              <w:t> </w:t>
            </w:r>
          </w:p>
        </w:tc>
        <w:tc>
          <w:tcPr>
            <w:tcW w:w="120" w:type="dxa"/>
            <w:tcBorders>
              <w:bottom w:val="dashed" w:sz="6" w:space="0" w:color="1070B8"/>
            </w:tcBorders>
            <w:shd w:fill="DEEAF6" w:val="clear"/>
            <w:tcMar>
              <w:bottom w:w="28" w:type="dxa"/>
            </w:tcMar>
            <w:vAlign w:val="center"/>
          </w:tcPr>
          <w:p>
            <w:pPr>
              <w:pStyle w:val="TableContents"/>
              <w:bidi w:val="0"/>
              <w:spacing w:before="0" w:after="283"/>
              <w:jc w:val="left"/>
              <w:rPr/>
            </w:pPr>
            <w:r>
              <w:rPr/>
              <w:t>  </w:t>
            </w:r>
          </w:p>
        </w:tc>
        <w:tc>
          <w:tcPr>
            <w:tcW w:w="1131" w:type="dxa"/>
            <w:tcBorders>
              <w:bottom w:val="dashed" w:sz="6" w:space="0" w:color="1070B8"/>
            </w:tcBorders>
            <w:shd w:fill="DEEAF6"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2060"/>
                <w:sz w:val="20"/>
              </w:rPr>
            </w:pPr>
            <w:r>
              <w:rPr>
                <w:rFonts w:ascii="arial" w:hAnsi="arial"/>
                <w:b/>
                <w:color w:val="002060"/>
                <w:sz w:val="20"/>
              </w:rPr>
              <w:t>$706,850</w:t>
            </w:r>
          </w:p>
          <w:p>
            <w:pPr>
              <w:pStyle w:val="TableContents"/>
              <w:bidi w:val="0"/>
              <w:spacing w:before="0" w:after="20"/>
              <w:jc w:val="center"/>
              <w:rPr>
                <w:rFonts w:ascii="arial" w:hAnsi="arial"/>
                <w:b/>
                <w:color w:val="002060"/>
                <w:sz w:val="20"/>
              </w:rPr>
            </w:pPr>
            <w:r>
              <w:rPr>
                <w:rFonts w:ascii="arial" w:hAnsi="arial"/>
                <w:b/>
                <w:color w:val="002060"/>
                <w:sz w:val="20"/>
              </w:rPr>
              <w:t>awarded</w:t>
            </w:r>
          </w:p>
        </w:tc>
      </w:tr>
      <w:tr>
        <w:trPr/>
        <w:tc>
          <w:tcPr>
            <w:tcW w:w="75" w:type="dxa"/>
            <w:vMerge w:val="continue"/>
            <w:tcBorders/>
            <w:shd w:fill="ACB9CA" w:val="clear"/>
            <w:vAlign w:val="center"/>
          </w:tcPr>
          <w:p>
            <w:pPr>
              <w:pStyle w:val="Normal"/>
              <w:bidi w:val="0"/>
              <w:jc w:val="left"/>
              <w:rPr/>
            </w:pPr>
            <w:r>
              <w:rPr/>
            </w:r>
          </w:p>
        </w:tc>
        <w:tc>
          <w:tcPr>
            <w:tcW w:w="60" w:type="dxa"/>
            <w:vMerge w:val="continue"/>
            <w:tcBorders/>
            <w:shd w:fill="ACB9CA" w:val="clear"/>
            <w:vAlign w:val="center"/>
          </w:tcPr>
          <w:p>
            <w:pPr>
              <w:pStyle w:val="Normal"/>
              <w:bidi w:val="0"/>
              <w:jc w:val="left"/>
              <w:rPr/>
            </w:pPr>
            <w:r>
              <w:rPr/>
            </w:r>
          </w:p>
        </w:tc>
        <w:tc>
          <w:tcPr>
            <w:tcW w:w="1426" w:type="dxa"/>
            <w:vMerge w:val="continue"/>
            <w:tcBorders/>
            <w:shd w:fill="ACB9CA" w:val="cle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7273" w:type="dxa"/>
            <w:vMerge w:val="continue"/>
            <w:tcBorders/>
            <w:vAlign w:val="center"/>
          </w:tcPr>
          <w:p>
            <w:pPr>
              <w:pStyle w:val="Normal"/>
              <w:bidi w:val="0"/>
              <w:jc w:val="left"/>
              <w:rPr/>
            </w:pPr>
            <w:r>
              <w:rPr/>
            </w:r>
          </w:p>
        </w:tc>
        <w:tc>
          <w:tcPr>
            <w:tcW w:w="120" w:type="dxa"/>
            <w:tcBorders/>
            <w:shd w:fill="DEEAF6" w:val="clear"/>
            <w:vAlign w:val="center"/>
          </w:tcPr>
          <w:p>
            <w:pPr>
              <w:pStyle w:val="TableContents"/>
              <w:bidi w:val="0"/>
              <w:spacing w:before="0" w:after="283"/>
              <w:jc w:val="left"/>
              <w:rPr/>
            </w:pPr>
            <w:r>
              <w:rPr/>
              <w:t>  </w:t>
            </w:r>
          </w:p>
        </w:tc>
        <w:tc>
          <w:tcPr>
            <w:tcW w:w="1131" w:type="dxa"/>
            <w:tcBorders/>
            <w:shd w:fill="DEEAF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2060"/>
                <w:sz w:val="20"/>
              </w:rPr>
            </w:pPr>
            <w:r>
              <w:rPr>
                <w:rFonts w:ascii="arial" w:hAnsi="arial"/>
                <w:b/>
                <w:color w:val="002060"/>
                <w:sz w:val="20"/>
              </w:rPr>
              <w:t>850</w:t>
            </w:r>
          </w:p>
          <w:p>
            <w:pPr>
              <w:pStyle w:val="TableContents"/>
              <w:bidi w:val="0"/>
              <w:spacing w:before="0" w:after="20"/>
              <w:jc w:val="center"/>
              <w:rPr>
                <w:rFonts w:ascii="arial" w:hAnsi="arial"/>
                <w:b/>
                <w:color w:val="002060"/>
                <w:sz w:val="20"/>
              </w:rPr>
            </w:pPr>
            <w:r>
              <w:rPr>
                <w:rFonts w:ascii="arial" w:hAnsi="arial"/>
                <w:b/>
                <w:color w:val="002060"/>
                <w:sz w:val="20"/>
              </w:rPr>
              <w:t>grants</w:t>
            </w:r>
          </w:p>
        </w:tc>
      </w:tr>
      <w:tr>
        <w:trPr/>
        <w:tc>
          <w:tcPr>
            <w:tcW w:w="75" w:type="dxa"/>
            <w:tcBorders>
              <w:top w:val="single" w:sz="12" w:space="0" w:color="0070C0"/>
            </w:tcBorders>
            <w:shd w:fill="ACB9CA" w:val="clear"/>
            <w:tcMar>
              <w:top w:w="28" w:type="dxa"/>
            </w:tcMar>
            <w:vAlign w:val="center"/>
          </w:tcPr>
          <w:p>
            <w:pPr>
              <w:pStyle w:val="TableContents"/>
              <w:bidi w:val="0"/>
              <w:spacing w:before="0" w:after="283"/>
              <w:jc w:val="left"/>
              <w:rPr/>
            </w:pPr>
            <w:r>
              <w:rPr/>
              <w:t> </w:t>
            </w:r>
          </w:p>
        </w:tc>
        <w:tc>
          <w:tcPr>
            <w:tcW w:w="1486" w:type="dxa"/>
            <w:gridSpan w:val="2"/>
            <w:tcBorders>
              <w:top w:val="single" w:sz="12" w:space="0" w:color="0070C0"/>
            </w:tcBorders>
            <w:shd w:fill="ACB9CA" w:val="clear"/>
            <w:tcMar>
              <w:top w:w="28" w:type="dxa"/>
            </w:tcMar>
            <w:vAlign w:val="center"/>
          </w:tcPr>
          <w:p>
            <w:pPr>
              <w:pStyle w:val="TableContents"/>
              <w:bidi w:val="0"/>
              <w:spacing w:before="0" w:after="283"/>
              <w:jc w:val="left"/>
              <w:rPr/>
            </w:pPr>
            <w:r>
              <w:rPr/>
              <w:t> </w:t>
            </w:r>
          </w:p>
        </w:tc>
        <w:tc>
          <w:tcPr>
            <w:tcW w:w="7393" w:type="dxa"/>
            <w:gridSpan w:val="2"/>
            <w:tcBorders>
              <w:top w:val="single" w:sz="12" w:space="0" w:color="0070C0"/>
            </w:tcBorders>
            <w:tcMar>
              <w:top w:w="28" w:type="dxa"/>
            </w:tcMar>
            <w:vAlign w:val="center"/>
          </w:tcPr>
          <w:p>
            <w:pPr>
              <w:pStyle w:val="TableContents"/>
              <w:bidi w:val="0"/>
              <w:spacing w:before="0" w:after="283"/>
              <w:jc w:val="left"/>
              <w:rPr/>
            </w:pPr>
            <w:r>
              <w:rPr/>
              <w:t> </w:t>
            </w:r>
          </w:p>
        </w:tc>
        <w:tc>
          <w:tcPr>
            <w:tcW w:w="1251" w:type="dxa"/>
            <w:gridSpan w:val="2"/>
            <w:tcBorders>
              <w:top w:val="single" w:sz="12" w:space="0" w:color="0070C0"/>
            </w:tcBorders>
            <w:shd w:fill="DEEAF6" w:val="clear"/>
            <w:tcMar>
              <w:top w:w="28" w:type="dxa"/>
            </w:tcMar>
            <w:vAlign w:val="center"/>
          </w:tcPr>
          <w:p>
            <w:pPr>
              <w:pStyle w:val="TableContents"/>
              <w:bidi w:val="0"/>
              <w:spacing w:before="0" w:after="283"/>
              <w:jc w:val="left"/>
              <w:rPr/>
            </w:pPr>
            <w:r>
              <w:rPr/>
              <w:t> </w:t>
            </w:r>
          </w:p>
        </w:tc>
      </w:tr>
      <w:tr>
        <w:trPr/>
        <w:tc>
          <w:tcPr>
            <w:tcW w:w="75" w:type="dxa"/>
            <w:vMerge w:val="restart"/>
            <w:tcBorders>
              <w:bottom w:val="single" w:sz="12" w:space="0" w:color="0070C0"/>
            </w:tcBorders>
            <w:shd w:fill="ACB9CA" w:val="clear"/>
            <w:tcMar>
              <w:bottom w:w="28" w:type="dxa"/>
            </w:tcMar>
            <w:vAlign w:val="center"/>
          </w:tcPr>
          <w:p>
            <w:pPr>
              <w:pStyle w:val="TableContents"/>
              <w:bidi w:val="0"/>
              <w:spacing w:before="0" w:after="283"/>
              <w:jc w:val="left"/>
              <w:rPr/>
            </w:pPr>
            <w:r>
              <w:rPr/>
              <w:t> </w:t>
            </w:r>
          </w:p>
        </w:tc>
        <w:tc>
          <w:tcPr>
            <w:tcW w:w="60" w:type="dxa"/>
            <w:vMerge w:val="restart"/>
            <w:tcBorders>
              <w:bottom w:val="single" w:sz="12" w:space="0" w:color="0070C0"/>
            </w:tcBorders>
            <w:shd w:fill="ACB9CA" w:val="clear"/>
            <w:tcMar>
              <w:bottom w:w="28" w:type="dxa"/>
            </w:tcMar>
            <w:vAlign w:val="center"/>
          </w:tcPr>
          <w:p>
            <w:pPr>
              <w:pStyle w:val="TableContents"/>
              <w:bidi w:val="0"/>
              <w:spacing w:before="0" w:after="283"/>
              <w:jc w:val="left"/>
              <w:rPr/>
            </w:pPr>
            <w:r>
              <w:rPr/>
              <w:t> </w:t>
            </w:r>
          </w:p>
        </w:tc>
        <w:tc>
          <w:tcPr>
            <w:tcW w:w="1426" w:type="dxa"/>
            <w:vMerge w:val="restart"/>
            <w:tcBorders>
              <w:bottom w:val="single" w:sz="12" w:space="0" w:color="0070C0"/>
            </w:tcBorders>
            <w:shd w:fill="ACB9CA" w:val="clear"/>
            <w:tcMar>
              <w:bottom w:w="28" w:type="dxa"/>
            </w:tcMar>
            <w:vAlign w:val="center"/>
          </w:tcPr>
          <w:p>
            <w:pPr>
              <w:pStyle w:val="TableContents"/>
              <w:bidi w:val="0"/>
              <w:spacing w:before="0" w:after="283"/>
              <w:jc w:val="left"/>
              <w:rPr>
                <w:b/>
                <w:i/>
                <w:color w:val="002060"/>
              </w:rPr>
            </w:pPr>
            <w:r>
              <w:rPr>
                <w:b/>
                <w:i/>
                <w:color w:val="002060"/>
              </w:rPr>
              <w:t>Major Grants Program</w:t>
            </w:r>
          </w:p>
        </w:tc>
        <w:tc>
          <w:tcPr>
            <w:tcW w:w="120" w:type="dxa"/>
            <w:vMerge w:val="restart"/>
            <w:tcBorders>
              <w:bottom w:val="single" w:sz="12" w:space="0" w:color="0070C0"/>
            </w:tcBorders>
            <w:tcMar>
              <w:bottom w:w="28" w:type="dxa"/>
            </w:tcMar>
            <w:vAlign w:val="center"/>
          </w:tcPr>
          <w:p>
            <w:pPr>
              <w:pStyle w:val="TableContents"/>
              <w:bidi w:val="0"/>
              <w:spacing w:before="0" w:after="283"/>
              <w:jc w:val="left"/>
              <w:rPr/>
            </w:pPr>
            <w:r>
              <w:rPr/>
              <w:t>  </w:t>
            </w:r>
          </w:p>
        </w:tc>
        <w:tc>
          <w:tcPr>
            <w:tcW w:w="7273" w:type="dxa"/>
            <w:vMerge w:val="restart"/>
            <w:tcBorders>
              <w:bottom w:val="single" w:sz="12" w:space="0" w:color="0070C0"/>
            </w:tcBorders>
            <w:tcMar>
              <w:bottom w:w="28" w:type="dxa"/>
            </w:tcMar>
            <w:vAlign w:val="center"/>
          </w:tcPr>
          <w:p>
            <w:pPr>
              <w:pStyle w:val="TableContents"/>
              <w:bidi w:val="0"/>
              <w:spacing w:before="0" w:after="283"/>
              <w:jc w:val="left"/>
              <w:rPr/>
            </w:pPr>
            <w:r>
              <w:rPr/>
              <w:t>Our Foundation’s Major Grants Program provides grants to 501(c)(3) organizations involved in building or renovating homes or providing shelter for those in need.</w:t>
            </w:r>
          </w:p>
        </w:tc>
        <w:tc>
          <w:tcPr>
            <w:tcW w:w="120" w:type="dxa"/>
            <w:tcBorders>
              <w:bottom w:val="dashed" w:sz="6" w:space="0" w:color="1070B8"/>
            </w:tcBorders>
            <w:shd w:fill="DEEAF6" w:val="clear"/>
            <w:tcMar>
              <w:bottom w:w="28" w:type="dxa"/>
            </w:tcMar>
            <w:vAlign w:val="center"/>
          </w:tcPr>
          <w:p>
            <w:pPr>
              <w:pStyle w:val="TableContents"/>
              <w:bidi w:val="0"/>
              <w:spacing w:before="0" w:after="283"/>
              <w:jc w:val="left"/>
              <w:rPr/>
            </w:pPr>
            <w:r>
              <w:rPr/>
              <w:t>  </w:t>
            </w:r>
          </w:p>
        </w:tc>
        <w:tc>
          <w:tcPr>
            <w:tcW w:w="1131" w:type="dxa"/>
            <w:tcBorders>
              <w:bottom w:val="dashed" w:sz="6" w:space="0" w:color="1070B8"/>
            </w:tcBorders>
            <w:shd w:fill="DEEAF6"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2060"/>
                <w:sz w:val="20"/>
              </w:rPr>
            </w:pPr>
            <w:r>
              <w:rPr>
                <w:rFonts w:ascii="arial" w:hAnsi="arial"/>
                <w:b/>
                <w:color w:val="002060"/>
                <w:sz w:val="20"/>
              </w:rPr>
              <w:t>$4.6 million</w:t>
            </w:r>
          </w:p>
          <w:p>
            <w:pPr>
              <w:pStyle w:val="TableContents"/>
              <w:bidi w:val="0"/>
              <w:spacing w:before="0" w:after="0"/>
              <w:jc w:val="center"/>
              <w:rPr>
                <w:rFonts w:ascii="arial" w:hAnsi="arial"/>
                <w:b/>
                <w:color w:val="002060"/>
                <w:sz w:val="20"/>
              </w:rPr>
            </w:pPr>
            <w:r>
              <w:rPr>
                <w:rFonts w:ascii="arial" w:hAnsi="arial"/>
                <w:b/>
                <w:color w:val="002060"/>
                <w:sz w:val="20"/>
              </w:rPr>
              <w:t>awarded</w:t>
            </w:r>
          </w:p>
          <w:p>
            <w:pPr>
              <w:pStyle w:val="TableContents"/>
              <w:bidi w:val="0"/>
              <w:spacing w:before="0" w:after="20"/>
              <w:jc w:val="left"/>
              <w:rPr/>
            </w:pPr>
            <w:r>
              <w:rPr/>
              <w:t> </w:t>
            </w:r>
          </w:p>
        </w:tc>
      </w:tr>
      <w:tr>
        <w:trPr/>
        <w:tc>
          <w:tcPr>
            <w:tcW w:w="75" w:type="dxa"/>
            <w:vMerge w:val="continue"/>
            <w:tcBorders>
              <w:bottom w:val="single" w:sz="12" w:space="0" w:color="0070C0"/>
            </w:tcBorders>
            <w:shd w:fill="ACB9CA" w:val="clear"/>
            <w:tcMar>
              <w:bottom w:w="28" w:type="dxa"/>
            </w:tcMar>
            <w:vAlign w:val="center"/>
          </w:tcPr>
          <w:p>
            <w:pPr>
              <w:pStyle w:val="Normal"/>
              <w:bidi w:val="0"/>
              <w:jc w:val="left"/>
              <w:rPr/>
            </w:pPr>
            <w:r>
              <w:rPr/>
            </w:r>
          </w:p>
        </w:tc>
        <w:tc>
          <w:tcPr>
            <w:tcW w:w="60" w:type="dxa"/>
            <w:vMerge w:val="continue"/>
            <w:tcBorders>
              <w:bottom w:val="single" w:sz="12" w:space="0" w:color="0070C0"/>
            </w:tcBorders>
            <w:shd w:fill="ACB9CA" w:val="clear"/>
            <w:tcMar>
              <w:bottom w:w="28" w:type="dxa"/>
            </w:tcMar>
            <w:vAlign w:val="center"/>
          </w:tcPr>
          <w:p>
            <w:pPr>
              <w:pStyle w:val="Normal"/>
              <w:bidi w:val="0"/>
              <w:jc w:val="left"/>
              <w:rPr/>
            </w:pPr>
            <w:r>
              <w:rPr/>
            </w:r>
          </w:p>
        </w:tc>
        <w:tc>
          <w:tcPr>
            <w:tcW w:w="1426" w:type="dxa"/>
            <w:vMerge w:val="continue"/>
            <w:tcBorders>
              <w:bottom w:val="single" w:sz="12" w:space="0" w:color="0070C0"/>
            </w:tcBorders>
            <w:shd w:fill="ACB9CA" w:val="clear"/>
            <w:tcMar>
              <w:bottom w:w="28" w:type="dxa"/>
            </w:tcMar>
            <w:vAlign w:val="center"/>
          </w:tcPr>
          <w:p>
            <w:pPr>
              <w:pStyle w:val="Normal"/>
              <w:bidi w:val="0"/>
              <w:jc w:val="left"/>
              <w:rPr/>
            </w:pPr>
            <w:r>
              <w:rPr/>
            </w:r>
          </w:p>
        </w:tc>
        <w:tc>
          <w:tcPr>
            <w:tcW w:w="120" w:type="dxa"/>
            <w:vMerge w:val="continue"/>
            <w:tcBorders>
              <w:bottom w:val="single" w:sz="12" w:space="0" w:color="0070C0"/>
            </w:tcBorders>
            <w:tcMar>
              <w:bottom w:w="28" w:type="dxa"/>
            </w:tcMar>
            <w:vAlign w:val="center"/>
          </w:tcPr>
          <w:p>
            <w:pPr>
              <w:pStyle w:val="Normal"/>
              <w:bidi w:val="0"/>
              <w:jc w:val="left"/>
              <w:rPr/>
            </w:pPr>
            <w:r>
              <w:rPr/>
            </w:r>
          </w:p>
        </w:tc>
        <w:tc>
          <w:tcPr>
            <w:tcW w:w="7273" w:type="dxa"/>
            <w:vMerge w:val="continue"/>
            <w:tcBorders>
              <w:bottom w:val="single" w:sz="12" w:space="0" w:color="0070C0"/>
            </w:tcBorders>
            <w:tcMar>
              <w:bottom w:w="28" w:type="dxa"/>
            </w:tcMar>
            <w:vAlign w:val="center"/>
          </w:tcPr>
          <w:p>
            <w:pPr>
              <w:pStyle w:val="Normal"/>
              <w:bidi w:val="0"/>
              <w:jc w:val="left"/>
              <w:rPr/>
            </w:pPr>
            <w:r>
              <w:rPr/>
            </w:r>
          </w:p>
        </w:tc>
        <w:tc>
          <w:tcPr>
            <w:tcW w:w="120" w:type="dxa"/>
            <w:tcBorders>
              <w:bottom w:val="single" w:sz="12" w:space="0" w:color="0070C0"/>
            </w:tcBorders>
            <w:shd w:fill="DEEAF6" w:val="clear"/>
            <w:tcMar>
              <w:bottom w:w="28" w:type="dxa"/>
            </w:tcMar>
            <w:vAlign w:val="center"/>
          </w:tcPr>
          <w:p>
            <w:pPr>
              <w:pStyle w:val="TableContents"/>
              <w:bidi w:val="0"/>
              <w:spacing w:before="0" w:after="283"/>
              <w:jc w:val="left"/>
              <w:rPr/>
            </w:pPr>
            <w:r>
              <w:rPr/>
              <w:t>  </w:t>
            </w:r>
          </w:p>
        </w:tc>
        <w:tc>
          <w:tcPr>
            <w:tcW w:w="1131" w:type="dxa"/>
            <w:tcBorders>
              <w:bottom w:val="single" w:sz="12" w:space="0" w:color="0070C0"/>
            </w:tcBorders>
            <w:shd w:fill="DEEAF6"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2060"/>
                <w:sz w:val="20"/>
              </w:rPr>
            </w:pPr>
            <w:r>
              <w:rPr>
                <w:rFonts w:ascii="arial" w:hAnsi="arial"/>
                <w:b/>
                <w:color w:val="002060"/>
                <w:sz w:val="20"/>
              </w:rPr>
              <w:t>108</w:t>
            </w:r>
          </w:p>
          <w:p>
            <w:pPr>
              <w:pStyle w:val="TableContents"/>
              <w:bidi w:val="0"/>
              <w:spacing w:before="0" w:after="0"/>
              <w:jc w:val="center"/>
              <w:rPr>
                <w:rFonts w:ascii="arial" w:hAnsi="arial"/>
                <w:b/>
                <w:color w:val="002060"/>
                <w:sz w:val="20"/>
              </w:rPr>
            </w:pPr>
            <w:r>
              <w:rPr>
                <w:rFonts w:ascii="arial" w:hAnsi="arial"/>
                <w:b/>
                <w:color w:val="002060"/>
                <w:sz w:val="20"/>
              </w:rPr>
              <w:t>grants</w:t>
            </w:r>
          </w:p>
          <w:p>
            <w:pPr>
              <w:pStyle w:val="TableContents"/>
              <w:bidi w:val="0"/>
              <w:spacing w:before="0" w:after="20"/>
              <w:jc w:val="left"/>
              <w:rPr/>
            </w:pPr>
            <w:r>
              <w:rPr/>
              <w:t> </w:t>
            </w:r>
          </w:p>
        </w:tc>
      </w:tr>
    </w:tbl>
    <w:p>
      <w:pPr>
        <w:pStyle w:val="TextBody"/>
        <w:bidi w:val="0"/>
        <w:spacing w:before="240" w:after="0"/>
        <w:jc w:val="left"/>
        <w:rPr>
          <w:rFonts w:ascii="arial" w:hAnsi="arial"/>
          <w:color w:val="1070B8"/>
          <w:sz w:val="22"/>
        </w:rPr>
      </w:pPr>
      <w:r>
        <w:rPr>
          <w:rFonts w:ascii="arial" w:hAnsi="arial"/>
          <w:color w:val="1070B8"/>
          <w:sz w:val="22"/>
        </w:rPr>
        <w:t xml:space="preserve">Corporate Giving </w:t>
      </w:r>
    </w:p>
    <w:p>
      <w:pPr>
        <w:pStyle w:val="TextBody"/>
        <w:bidi w:val="0"/>
        <w:spacing w:before="240" w:after="0"/>
        <w:jc w:val="left"/>
        <w:rPr>
          <w:rFonts w:ascii="arial" w:hAnsi="arial"/>
          <w:sz w:val="20"/>
        </w:rPr>
      </w:pPr>
      <w:r>
        <w:rPr>
          <w:rFonts w:ascii="arial" w:hAnsi="arial"/>
          <w:sz w:val="20"/>
        </w:rPr>
        <w:t xml:space="preserve">As we continue to grow, so does our commitment to being a positive force in the communities where our employees live and work. In addition to the Foundation, we have a robust corporate giving program that includes both national and local charities to which we have collectively contributed $4.6 million. We have entered into multi-year commitments with the Gary Sinise Foundation’s R.I.S.E. Program, YWCA of Central Ohio, The Columbus Metropolitan Library Foundation, Junior Achievement of Central Ohio, The Columbus Promise, Besa Community, Inc. and Zora’s House. Through our Foundation and corporate giving programs, we are committed to contribute 1% of EBITDA annually to nonprofit organizations to support initiatives focused on education, housing and strengthening our communities.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Responsibility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952"/>
        <w:gridCol w:w="60"/>
        <w:gridCol w:w="278"/>
        <w:gridCol w:w="60"/>
        <w:gridCol w:w="4855"/>
      </w:tblGrid>
      <w:tr>
        <w:trPr/>
        <w:tc>
          <w:tcPr>
            <w:tcW w:w="4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5" w:type="dxa"/>
            <w:tcBorders/>
            <w:vAlign w:val="center"/>
          </w:tcPr>
          <w:p>
            <w:pPr>
              <w:pStyle w:val="TableContents"/>
              <w:bidi w:val="0"/>
              <w:spacing w:before="0" w:after="283"/>
              <w:jc w:val="left"/>
              <w:rPr>
                <w:sz w:val="4"/>
                <w:szCs w:val="4"/>
              </w:rPr>
            </w:pPr>
            <w:r>
              <w:rPr>
                <w:sz w:val="4"/>
                <w:szCs w:val="4"/>
              </w:rPr>
            </w:r>
          </w:p>
        </w:tc>
      </w:tr>
      <w:tr>
        <w:trPr/>
        <w:tc>
          <w:tcPr>
            <w:tcW w:w="4952" w:type="dxa"/>
            <w:tcBorders/>
            <w:vAlign w:val="center"/>
          </w:tcPr>
          <w:p>
            <w:pPr>
              <w:pStyle w:val="TableContents"/>
              <w:bidi w:val="0"/>
              <w:spacing w:before="0" w:after="0"/>
              <w:jc w:val="center"/>
              <w:rPr/>
            </w:pPr>
            <w:r>
              <w:rPr/>
              <w:drawing>
                <wp:inline distT="0" distB="0" distL="0" distR="0">
                  <wp:extent cx="2667000" cy="2000250"/>
                  <wp:effectExtent l="0" t="0" r="0" b="0"/>
                  <wp:docPr id="6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5" descr=""/>
                          <pic:cNvPicPr>
                            <a:picLocks noChangeAspect="1" noChangeArrowheads="1"/>
                          </pic:cNvPicPr>
                        </pic:nvPicPr>
                        <pic:blipFill>
                          <a:blip r:embed="rId66"/>
                          <a:stretch>
                            <a:fillRect/>
                          </a:stretch>
                        </pic:blipFill>
                        <pic:spPr bwMode="auto">
                          <a:xfrm>
                            <a:off x="0" y="0"/>
                            <a:ext cx="2667000" cy="200025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5" w:type="dxa"/>
            <w:tcBorders/>
            <w:vAlign w:val="center"/>
          </w:tcPr>
          <w:p>
            <w:pPr>
              <w:pStyle w:val="TableContents"/>
              <w:bidi w:val="0"/>
              <w:spacing w:before="0" w:after="0"/>
              <w:jc w:val="center"/>
              <w:rPr/>
            </w:pPr>
            <w:r>
              <w:rPr/>
              <w:drawing>
                <wp:inline distT="0" distB="0" distL="0" distR="0">
                  <wp:extent cx="2667000" cy="2000250"/>
                  <wp:effectExtent l="0" t="0" r="0" b="0"/>
                  <wp:docPr id="6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6" descr=""/>
                          <pic:cNvPicPr>
                            <a:picLocks noChangeAspect="1" noChangeArrowheads="1"/>
                          </pic:cNvPicPr>
                        </pic:nvPicPr>
                        <pic:blipFill>
                          <a:blip r:embed="rId67"/>
                          <a:stretch>
                            <a:fillRect/>
                          </a:stretch>
                        </pic:blipFill>
                        <pic:spPr bwMode="auto">
                          <a:xfrm>
                            <a:off x="0" y="0"/>
                            <a:ext cx="2667000" cy="20002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4952" w:type="dxa"/>
            <w:tcBorders/>
            <w:vAlign w:val="center"/>
          </w:tcPr>
          <w:p>
            <w:pPr>
              <w:pStyle w:val="TableContents"/>
              <w:pBdr>
                <w:bottom w:val="single" w:sz="12" w:space="1" w:color="1070B8"/>
              </w:pBdr>
              <w:bidi w:val="0"/>
              <w:spacing w:lineRule="atLeast" w:line="142" w:before="0" w:after="40"/>
              <w:jc w:val="left"/>
              <w:rPr/>
            </w:pPr>
            <w:r>
              <w:rPr/>
              <w:t> </w:t>
            </w:r>
          </w:p>
          <w:p>
            <w:pPr>
              <w:pStyle w:val="TableContents"/>
              <w:bidi w:val="0"/>
              <w:spacing w:before="0" w:after="20"/>
              <w:jc w:val="left"/>
              <w:rPr>
                <w:rFonts w:ascii="arial" w:hAnsi="arial"/>
                <w:color w:val="1F295C"/>
                <w:sz w:val="20"/>
              </w:rPr>
            </w:pPr>
            <w:r>
              <w:rPr>
                <w:rFonts w:ascii="arial" w:hAnsi="arial"/>
                <w:i/>
                <w:color w:val="1F295C"/>
                <w:sz w:val="20"/>
              </w:rPr>
              <w:t>We</w:t>
            </w:r>
            <w:r>
              <w:rPr>
                <w:rFonts w:ascii="arial" w:hAnsi="arial"/>
                <w:color w:val="1F295C"/>
                <w:sz w:val="20"/>
              </w:rPr>
              <w:t xml:space="preserve"> </w:t>
            </w:r>
            <w:r>
              <w:rPr>
                <w:rFonts w:ascii="arial" w:hAnsi="arial"/>
                <w:i/>
                <w:color w:val="1F295C"/>
                <w:sz w:val="20"/>
              </w:rPr>
              <w:t>believe in the power of education to change lives, and during its three-year pilot phase the Columbus Promise did just that. We were</w:t>
            </w:r>
            <w:r>
              <w:rPr>
                <w:rFonts w:ascii="arial" w:hAnsi="arial"/>
                <w:color w:val="1F295C"/>
                <w:sz w:val="20"/>
              </w:rPr>
              <w:t xml:space="preserve"> </w:t>
            </w:r>
            <w:r>
              <w:rPr>
                <w:rFonts w:ascii="arial" w:hAnsi="arial"/>
                <w:i/>
                <w:color w:val="1F295C"/>
                <w:sz w:val="20"/>
              </w:rPr>
              <w:t>among the first donors to the program that provides Columbus City Schools graduating</w:t>
            </w:r>
            <w:r>
              <w:rPr>
                <w:rFonts w:ascii="arial" w:hAnsi="arial"/>
                <w:color w:val="1F295C"/>
                <w:sz w:val="20"/>
              </w:rPr>
              <w:t xml:space="preserve"> </w:t>
            </w:r>
            <w:r>
              <w:rPr>
                <w:rFonts w:ascii="arial" w:hAnsi="arial"/>
                <w:i/>
                <w:color w:val="1F295C"/>
                <w:sz w:val="20"/>
              </w:rPr>
              <w:t>seniors the opportunity to attend Columbus State Community College tuition-free. 58% of those Promise scholars were the first in their family to attend college.</w:t>
            </w:r>
          </w:p>
        </w:tc>
        <w:tc>
          <w:tcPr>
            <w:tcW w:w="6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5" w:type="dxa"/>
            <w:tcBorders/>
            <w:vAlign w:val="center"/>
          </w:tcPr>
          <w:p>
            <w:pPr>
              <w:pStyle w:val="TableContents"/>
              <w:pBdr>
                <w:bottom w:val="single" w:sz="12" w:space="1" w:color="1070B8"/>
              </w:pBdr>
              <w:bidi w:val="0"/>
              <w:spacing w:lineRule="atLeast" w:line="142" w:before="0" w:after="40"/>
              <w:jc w:val="left"/>
              <w:rPr/>
            </w:pPr>
            <w:r>
              <w:rPr/>
              <w:t> </w:t>
            </w:r>
          </w:p>
          <w:p>
            <w:pPr>
              <w:pStyle w:val="TableContents"/>
              <w:bidi w:val="0"/>
              <w:spacing w:before="0" w:after="20"/>
              <w:jc w:val="left"/>
              <w:rPr>
                <w:rFonts w:ascii="arial" w:hAnsi="arial"/>
                <w:color w:val="1F295C"/>
                <w:sz w:val="20"/>
              </w:rPr>
            </w:pPr>
            <w:r>
              <w:rPr>
                <w:rFonts w:ascii="arial" w:hAnsi="arial"/>
                <w:i/>
                <w:color w:val="1F295C"/>
                <w:sz w:val="20"/>
              </w:rPr>
              <w:t>In the third year of our partnership with the Gary Sinise Foundation’s R.I.S.E. (Restoring Independence. Supporting Empowerment) program,</w:t>
            </w:r>
            <w:r>
              <w:rPr>
                <w:rFonts w:ascii="arial" w:hAnsi="arial"/>
                <w:color w:val="1F295C"/>
                <w:sz w:val="20"/>
              </w:rPr>
              <w:t xml:space="preserve"> </w:t>
            </w:r>
            <w:r>
              <w:rPr>
                <w:rFonts w:ascii="arial" w:hAnsi="arial"/>
                <w:i/>
                <w:color w:val="1F295C"/>
                <w:sz w:val="20"/>
              </w:rPr>
              <w:t>our support went beyond a financial contribution. Our</w:t>
            </w:r>
            <w:r>
              <w:rPr>
                <w:rFonts w:ascii="arial" w:hAnsi="arial"/>
                <w:color w:val="1F295C"/>
                <w:sz w:val="20"/>
              </w:rPr>
              <w:t xml:space="preserve"> </w:t>
            </w:r>
            <w:r>
              <w:rPr>
                <w:rFonts w:ascii="arial" w:hAnsi="arial"/>
                <w:i/>
                <w:color w:val="1F295C"/>
                <w:sz w:val="20"/>
              </w:rPr>
              <w:t>branches in Ohio, Florida, Virginia and Tennessee worked directly on specially adapted smart homes for wounded veterans and first responders.</w:t>
            </w:r>
          </w:p>
        </w:tc>
      </w:tr>
    </w:tbl>
    <w:p>
      <w:pPr>
        <w:pStyle w:val="TextBody"/>
        <w:bidi w:val="0"/>
        <w:spacing w:before="240" w:after="0"/>
        <w:jc w:val="left"/>
        <w:rPr>
          <w:rFonts w:ascii="arial" w:hAnsi="arial"/>
          <w:b/>
          <w:color w:val="1F295C"/>
          <w:sz w:val="24"/>
        </w:rPr>
      </w:pPr>
      <w:bookmarkStart w:id="45" w:name="toc849638_47"/>
      <w:bookmarkEnd w:id="45"/>
      <w:r>
        <w:rPr>
          <w:rFonts w:ascii="arial" w:hAnsi="arial"/>
          <w:b/>
          <w:color w:val="1F295C"/>
          <w:sz w:val="24"/>
        </w:rPr>
        <w:t xml:space="preserve">Corporate Responsibility Materials </w:t>
      </w:r>
    </w:p>
    <w:p>
      <w:pPr>
        <w:pStyle w:val="TextBody"/>
        <w:bidi w:val="0"/>
        <w:spacing w:before="240" w:after="0"/>
        <w:jc w:val="left"/>
        <w:rPr>
          <w:rFonts w:ascii="arial" w:hAnsi="arial"/>
          <w:sz w:val="20"/>
        </w:rPr>
      </w:pPr>
      <w:r>
        <w:rPr>
          <w:rFonts w:ascii="arial" w:hAnsi="arial"/>
          <w:sz w:val="20"/>
        </w:rPr>
        <w:t>The following corporate responsibility materials are published on our website at</w:t>
        <w:br/>
      </w:r>
      <w:r>
        <w:rPr>
          <w:rFonts w:ascii="arial" w:hAnsi="arial"/>
          <w:i/>
          <w:color w:val="1070B8"/>
          <w:sz w:val="20"/>
          <w:u w:val="single"/>
        </w:rPr>
        <w:t>https://investors.installedbuildingproducts.com/corporate-governance</w:t>
      </w:r>
      <w:r>
        <w:rPr>
          <w:rFonts w:ascii="arial" w:hAnsi="arial"/>
          <w:sz w:val="20"/>
        </w:rPr>
        <w:t xml:space="preserve">: </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75"/>
        <w:gridCol w:w="200"/>
        <w:gridCol w:w="60"/>
        <w:gridCol w:w="21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left"/>
              <w:rPr>
                <w:rFonts w:ascii="arial" w:hAnsi="arial"/>
                <w:sz w:val="20"/>
              </w:rPr>
            </w:pPr>
            <w:r>
              <w:rPr>
                <w:rFonts w:ascii="arial" w:hAnsi="arial"/>
                <w:sz w:val="20"/>
              </w:rPr>
              <w:t xml:space="preserve">Conflict Minerals Policy </w:t>
            </w:r>
          </w:p>
        </w:tc>
      </w:tr>
    </w:tbl>
    <w:tbl>
      <w:tblPr>
        <w:tblW w:w="2275" w:type="dxa"/>
        <w:jc w:val="left"/>
        <w:tblInd w:w="0" w:type="dxa"/>
        <w:tblLayout w:type="fixed"/>
        <w:tblCellMar>
          <w:top w:w="0" w:type="dxa"/>
          <w:left w:w="0" w:type="dxa"/>
          <w:bottom w:w="0" w:type="dxa"/>
          <w:right w:w="0" w:type="dxa"/>
        </w:tblCellMar>
      </w:tblPr>
      <w:tblGrid>
        <w:gridCol w:w="75"/>
        <w:gridCol w:w="200"/>
        <w:gridCol w:w="60"/>
        <w:gridCol w:w="19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arial" w:hAnsi="arial"/>
                <w:sz w:val="20"/>
              </w:rPr>
            </w:pPr>
            <w:r>
              <w:rPr>
                <w:rFonts w:ascii="arial" w:hAnsi="arial"/>
                <w:sz w:val="20"/>
              </w:rPr>
              <w:t xml:space="preserve">Environmental Policy </w:t>
            </w:r>
          </w:p>
        </w:tc>
      </w:tr>
    </w:tbl>
    <w:tbl>
      <w:tblPr>
        <w:tblW w:w="3220" w:type="dxa"/>
        <w:jc w:val="left"/>
        <w:tblInd w:w="0" w:type="dxa"/>
        <w:tblLayout w:type="fixed"/>
        <w:tblCellMar>
          <w:top w:w="0" w:type="dxa"/>
          <w:left w:w="0" w:type="dxa"/>
          <w:bottom w:w="0" w:type="dxa"/>
          <w:right w:w="0" w:type="dxa"/>
        </w:tblCellMar>
      </w:tblPr>
      <w:tblGrid>
        <w:gridCol w:w="75"/>
        <w:gridCol w:w="200"/>
        <w:gridCol w:w="60"/>
        <w:gridCol w:w="28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arial" w:hAnsi="arial"/>
                <w:sz w:val="20"/>
              </w:rPr>
            </w:pPr>
            <w:r>
              <w:rPr>
                <w:rFonts w:ascii="arial" w:hAnsi="arial"/>
                <w:sz w:val="20"/>
              </w:rPr>
              <w:t xml:space="preserve">Human Rights Policy Statement </w:t>
            </w:r>
          </w:p>
        </w:tc>
      </w:tr>
    </w:tbl>
    <w:tbl>
      <w:tblPr>
        <w:tblW w:w="1600" w:type="dxa"/>
        <w:jc w:val="left"/>
        <w:tblInd w:w="0" w:type="dxa"/>
        <w:tblLayout w:type="fixed"/>
        <w:tblCellMar>
          <w:top w:w="0" w:type="dxa"/>
          <w:left w:w="0" w:type="dxa"/>
          <w:bottom w:w="0" w:type="dxa"/>
          <w:right w:w="0" w:type="dxa"/>
        </w:tblCellMar>
      </w:tblPr>
      <w:tblGrid>
        <w:gridCol w:w="75"/>
        <w:gridCol w:w="200"/>
        <w:gridCol w:w="60"/>
        <w:gridCol w:w="12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arial" w:hAnsi="arial"/>
                <w:sz w:val="20"/>
              </w:rPr>
            </w:pPr>
            <w:r>
              <w:rPr>
                <w:rFonts w:ascii="arial" w:hAnsi="arial"/>
                <w:sz w:val="20"/>
              </w:rPr>
              <w:t xml:space="preserve">Safety Policy </w:t>
            </w:r>
          </w:p>
        </w:tc>
      </w:tr>
    </w:tbl>
    <w:tbl>
      <w:tblPr>
        <w:tblW w:w="2650" w:type="dxa"/>
        <w:jc w:val="left"/>
        <w:tblInd w:w="0" w:type="dxa"/>
        <w:tblLayout w:type="fixed"/>
        <w:tblCellMar>
          <w:top w:w="0" w:type="dxa"/>
          <w:left w:w="0" w:type="dxa"/>
          <w:bottom w:w="0" w:type="dxa"/>
          <w:right w:w="0" w:type="dxa"/>
        </w:tblCellMar>
      </w:tblPr>
      <w:tblGrid>
        <w:gridCol w:w="75"/>
        <w:gridCol w:w="200"/>
        <w:gridCol w:w="60"/>
        <w:gridCol w:w="23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left"/>
              <w:rPr>
                <w:rFonts w:ascii="arial" w:hAnsi="arial"/>
                <w:sz w:val="20"/>
              </w:rPr>
            </w:pPr>
            <w:r>
              <w:rPr>
                <w:rFonts w:ascii="arial" w:hAnsi="arial"/>
                <w:sz w:val="20"/>
              </w:rPr>
              <w:t xml:space="preserve">Supplier Code of Conduct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Corporate Responsibility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bookmarkStart w:id="46" w:name="toc849638_48"/>
      <w:bookmarkEnd w:id="46"/>
      <w:r>
        <w:rPr>
          <w:rFonts w:ascii="Times New Roman" w:hAnsi="Times New Roman"/>
          <w:b/>
          <w:color w:val="1070B8"/>
          <w:sz w:val="44"/>
        </w:rPr>
        <w:t xml:space="preserve">PROPOSAL 2 – RATIFICATION OF THE </w:t>
      </w:r>
    </w:p>
    <w:p>
      <w:pPr>
        <w:pStyle w:val="TextBody"/>
        <w:bidi w:val="0"/>
        <w:spacing w:before="0" w:after="0"/>
        <w:jc w:val="center"/>
        <w:rPr>
          <w:rFonts w:ascii="Times New Roman" w:hAnsi="Times New Roman"/>
          <w:b/>
          <w:color w:val="1070B8"/>
          <w:sz w:val="44"/>
        </w:rPr>
      </w:pPr>
      <w:r>
        <w:rPr>
          <w:rFonts w:ascii="Times New Roman" w:hAnsi="Times New Roman"/>
          <w:b/>
          <w:color w:val="1070B8"/>
          <w:sz w:val="44"/>
        </w:rPr>
        <w:t xml:space="preserve">APPOINTMENT OF OUR INDEPENDENT </w:t>
      </w:r>
    </w:p>
    <w:p>
      <w:pPr>
        <w:pStyle w:val="TextBody"/>
        <w:bidi w:val="0"/>
        <w:spacing w:before="0" w:after="0"/>
        <w:jc w:val="center"/>
        <w:rPr>
          <w:rFonts w:ascii="Times New Roman" w:hAnsi="Times New Roman"/>
          <w:b/>
          <w:color w:val="1070B8"/>
          <w:sz w:val="44"/>
        </w:rPr>
      </w:pPr>
      <w:r>
        <w:rPr>
          <w:rFonts w:ascii="Times New Roman" w:hAnsi="Times New Roman"/>
          <w:b/>
          <w:color w:val="1070B8"/>
          <w:sz w:val="44"/>
        </w:rPr>
        <w:t xml:space="preserve">REGISTERED PUBLIC ACCOUNTING FIRM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240" w:after="0"/>
        <w:jc w:val="left"/>
        <w:rPr>
          <w:rFonts w:ascii="arial" w:hAnsi="arial"/>
          <w:b/>
          <w:color w:val="1F295C"/>
          <w:sz w:val="24"/>
        </w:rPr>
      </w:pPr>
      <w:bookmarkStart w:id="47" w:name="toc849638_49"/>
      <w:bookmarkEnd w:id="47"/>
      <w:r>
        <w:rPr>
          <w:rFonts w:ascii="arial" w:hAnsi="arial"/>
          <w:b/>
          <w:color w:val="1F295C"/>
          <w:sz w:val="24"/>
        </w:rPr>
        <w:t xml:space="preserve">Overview </w:t>
      </w:r>
    </w:p>
    <w:p>
      <w:pPr>
        <w:pStyle w:val="TextBody"/>
        <w:bidi w:val="0"/>
        <w:spacing w:before="240" w:after="0"/>
        <w:jc w:val="left"/>
        <w:rPr>
          <w:rFonts w:ascii="arial" w:hAnsi="arial"/>
          <w:sz w:val="20"/>
        </w:rPr>
      </w:pPr>
      <w:r>
        <w:rPr>
          <w:rFonts w:ascii="arial" w:hAnsi="arial"/>
          <w:sz w:val="20"/>
        </w:rPr>
        <w:t xml:space="preserve">Our Audit Committee is responsible for the appointment, compensation, retention and oversight of our independent registered public accounting firm. The Audit Committee has appointed, and the Board has ratified the appointment of, Deloitte &amp; Touche LLP (“Deloitte”) to serve as our independent registered public accounting firm for the fiscal year ending December 31, 2025. Deloitte has served as our independent registered public accounting firm since 2013. </w:t>
      </w:r>
    </w:p>
    <w:p>
      <w:pPr>
        <w:pStyle w:val="TextBody"/>
        <w:bidi w:val="0"/>
        <w:spacing w:before="240" w:after="0"/>
        <w:jc w:val="left"/>
        <w:rPr>
          <w:rFonts w:ascii="arial" w:hAnsi="arial"/>
          <w:sz w:val="20"/>
        </w:rPr>
      </w:pPr>
      <w:r>
        <w:rPr>
          <w:rFonts w:ascii="arial" w:hAnsi="arial"/>
          <w:sz w:val="20"/>
        </w:rPr>
        <w:t xml:space="preserve">The Audit Committee annually reviews Deloitte’s performance and independence in deciding whether to retain Deloitte or to engage a different independent registered public accounting firm. In evaluating Deloitte’s performance, the Audit Committee considers a number of factors, among other things: </w:t>
      </w:r>
    </w:p>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75"/>
        <w:gridCol w:w="200"/>
        <w:gridCol w:w="60"/>
        <w:gridCol w:w="55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rFonts w:ascii="arial" w:hAnsi="arial"/>
                <w:sz w:val="20"/>
              </w:rPr>
            </w:pPr>
            <w:r>
              <w:rPr>
                <w:rFonts w:ascii="arial" w:hAnsi="arial"/>
                <w:sz w:val="20"/>
              </w:rPr>
              <w:t xml:space="preserve">the quality of the historical and recent performance of the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audit quality and efficiency, including the performance of the audit partner and audit team and their audit approach; </w:t>
            </w:r>
          </w:p>
        </w:tc>
      </w:tr>
    </w:tbl>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75"/>
        <w:gridCol w:w="200"/>
        <w:gridCol w:w="60"/>
        <w:gridCol w:w="69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arial" w:hAnsi="arial"/>
                <w:sz w:val="20"/>
              </w:rPr>
            </w:pPr>
            <w:r>
              <w:rPr>
                <w:rFonts w:ascii="arial" w:hAnsi="arial"/>
                <w:sz w:val="20"/>
              </w:rPr>
              <w:t xml:space="preserve">the quality and candor of the firm’s communications with the Audit Committee;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75"/>
        <w:gridCol w:w="200"/>
        <w:gridCol w:w="60"/>
        <w:gridCol w:w="47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arial" w:hAnsi="arial"/>
                <w:sz w:val="20"/>
              </w:rPr>
            </w:pPr>
            <w:r>
              <w:rPr>
                <w:rFonts w:ascii="arial" w:hAnsi="arial"/>
                <w:sz w:val="20"/>
              </w:rPr>
              <w:t xml:space="preserve">the independence, objectivity and integrity of the firm;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200"/>
        <w:gridCol w:w="60"/>
        <w:gridCol w:w="578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left"/>
              <w:rPr>
                <w:rFonts w:ascii="arial" w:hAnsi="arial"/>
                <w:sz w:val="20"/>
              </w:rPr>
            </w:pPr>
            <w:r>
              <w:rPr>
                <w:rFonts w:ascii="arial" w:hAnsi="arial"/>
                <w:sz w:val="20"/>
              </w:rPr>
              <w:t xml:space="preserve">known significant legal or regulatory proceedings against the firm; </w:t>
            </w:r>
          </w:p>
        </w:tc>
      </w:tr>
    </w:tbl>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75"/>
        <w:gridCol w:w="200"/>
        <w:gridCol w:w="60"/>
        <w:gridCol w:w="39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jc w:val="left"/>
              <w:rPr>
                <w:rFonts w:ascii="arial" w:hAnsi="arial"/>
                <w:sz w:val="20"/>
              </w:rPr>
            </w:pPr>
            <w:r>
              <w:rPr>
                <w:rFonts w:ascii="arial" w:hAnsi="arial"/>
                <w:sz w:val="20"/>
              </w:rPr>
              <w:t xml:space="preserve">the firm’s internal quality control procedures;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200"/>
        <w:gridCol w:w="60"/>
        <w:gridCol w:w="37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arial" w:hAnsi="arial"/>
                <w:sz w:val="20"/>
              </w:rPr>
            </w:pPr>
            <w:r>
              <w:rPr>
                <w:rFonts w:ascii="arial" w:hAnsi="arial"/>
                <w:sz w:val="20"/>
              </w:rPr>
              <w:t xml:space="preserve">the appropriateness of the firm’s fees; and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200"/>
        <w:gridCol w:w="60"/>
        <w:gridCol w:w="85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left"/>
              <w:rPr>
                <w:rFonts w:ascii="arial" w:hAnsi="arial"/>
                <w:sz w:val="20"/>
              </w:rPr>
            </w:pPr>
            <w:r>
              <w:rPr>
                <w:rFonts w:ascii="arial" w:hAnsi="arial"/>
                <w:sz w:val="20"/>
              </w:rPr>
              <w:t xml:space="preserve">the benefits of having a long-tenured auditor and potential impact of selecting a new auditing firm. </w:t>
            </w:r>
          </w:p>
        </w:tc>
      </w:tr>
    </w:tbl>
    <w:p>
      <w:pPr>
        <w:pStyle w:val="TextBody"/>
        <w:bidi w:val="0"/>
        <w:spacing w:before="240" w:after="0"/>
        <w:jc w:val="left"/>
        <w:rPr>
          <w:rFonts w:ascii="arial" w:hAnsi="arial"/>
          <w:sz w:val="20"/>
        </w:rPr>
      </w:pPr>
      <w:r>
        <w:rPr>
          <w:rFonts w:ascii="arial" w:hAnsi="arial"/>
          <w:sz w:val="20"/>
        </w:rPr>
        <w:t xml:space="preserve">Based upon its assessment of Deloitte’s performance, the Audit Committee believes that the retention of Deloitte as our independent registered public accounting firm is in the best interests of the Company and our stockholders. The Audit Committee believes that Deloitte’s tenure as our independent registered public accounting firm confers distinct benefits, including enhanced audit quality and efficiency due to Deloitte’s significant institutional knowledge of the Company and its operations, accounting practices and internal controls framework. </w:t>
      </w:r>
    </w:p>
    <w:p>
      <w:pPr>
        <w:pStyle w:val="TextBody"/>
        <w:bidi w:val="0"/>
        <w:spacing w:before="240" w:after="0"/>
        <w:jc w:val="left"/>
        <w:rPr>
          <w:rFonts w:ascii="arial" w:hAnsi="arial"/>
          <w:sz w:val="20"/>
        </w:rPr>
      </w:pPr>
      <w:r>
        <w:rPr>
          <w:rFonts w:ascii="arial" w:hAnsi="arial"/>
          <w:sz w:val="20"/>
        </w:rPr>
        <w:t xml:space="preserve">We are asking our stockholders to ratify the selection of Deloitte as our independent registered public accounting firm for 2025. Although stockholder ratification is not required, we value our stockholders’ views on our independent registered public accounting firm. If our stockholders fail to ratify the appointment of Deloitte, the Audit Committee will reconsider whether or not to retain Deloitte and may retain that firm or another firm without resubmitting the matter to our stockholders. Even if the selection of Deloitte is ratified, the Audit Committee may, in its discretion, select a different firm at any time during the year if it determines that such a change would be in the best interests of the Company and its stockholders. </w:t>
      </w:r>
    </w:p>
    <w:p>
      <w:pPr>
        <w:pStyle w:val="TextBody"/>
        <w:bidi w:val="0"/>
        <w:spacing w:before="240" w:after="0"/>
        <w:jc w:val="left"/>
        <w:rPr>
          <w:rFonts w:ascii="arial" w:hAnsi="arial"/>
          <w:sz w:val="20"/>
        </w:rPr>
      </w:pPr>
      <w:r>
        <w:rPr>
          <w:rFonts w:ascii="arial" w:hAnsi="arial"/>
          <w:sz w:val="20"/>
        </w:rPr>
        <w:t xml:space="preserve">A representative of Deloitte is expected to be present at the Annual Meeting, will be given an opportunity to make a statement and will be available to respond to appropriate questions.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2 – Ratification of the Appointment of our Independent Registered Public Accounting Firm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48" w:name="toc849638_50"/>
      <w:bookmarkEnd w:id="48"/>
      <w:r>
        <w:rPr>
          <w:rFonts w:ascii="arial" w:hAnsi="arial"/>
          <w:b/>
          <w:color w:val="1F295C"/>
          <w:sz w:val="24"/>
        </w:rPr>
        <w:t xml:space="preserve">Fees Paid to Deloitte </w:t>
      </w:r>
    </w:p>
    <w:p>
      <w:pPr>
        <w:pStyle w:val="TextBody"/>
        <w:bidi w:val="0"/>
        <w:spacing w:before="240" w:after="0"/>
        <w:jc w:val="left"/>
        <w:rPr>
          <w:rFonts w:ascii="arial" w:hAnsi="arial"/>
          <w:sz w:val="20"/>
        </w:rPr>
      </w:pPr>
      <w:r>
        <w:rPr>
          <w:rFonts w:ascii="arial" w:hAnsi="arial"/>
          <w:sz w:val="20"/>
        </w:rPr>
        <w:t xml:space="preserve">Deloitte audited our consolidated financial statements and effectiveness of internal controls over financial reporting during the years ended December 31, 2024 and 2023. During these periods, Deloitte provided both audit and non-audit services. The following table sets forth the aggregate fees we paid to Deloitte in 2024 and 2023, respectively. </w:t>
      </w:r>
    </w:p>
    <w:p>
      <w:pPr>
        <w:pStyle w:val="TextBody"/>
        <w:bidi w:val="0"/>
        <w:spacing w:before="0" w:after="0"/>
        <w:jc w:val="left"/>
        <w:rPr/>
      </w:pPr>
      <w:r>
        <w:rPr/>
        <w:t> </w:t>
      </w:r>
    </w:p>
    <w:tbl>
      <w:tblPr>
        <w:tblW w:w="4715" w:type="dxa"/>
        <w:jc w:val="left"/>
        <w:tblInd w:w="0" w:type="dxa"/>
        <w:tblLayout w:type="fixed"/>
        <w:tblCellMar>
          <w:top w:w="0" w:type="dxa"/>
          <w:left w:w="0" w:type="dxa"/>
          <w:bottom w:w="0" w:type="dxa"/>
          <w:right w:w="0" w:type="dxa"/>
        </w:tblCellMar>
      </w:tblPr>
      <w:tblGrid>
        <w:gridCol w:w="1820"/>
        <w:gridCol w:w="120"/>
        <w:gridCol w:w="60"/>
        <w:gridCol w:w="1340"/>
        <w:gridCol w:w="60"/>
        <w:gridCol w:w="120"/>
        <w:gridCol w:w="140"/>
        <w:gridCol w:w="980"/>
        <w:gridCol w:w="75"/>
      </w:tblGrid>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400" w:type="dxa"/>
            <w:gridSpan w:val="2"/>
            <w:tcBorders>
              <w:bottom w:val="single" w:sz="12" w:space="0" w:color="1070B8"/>
            </w:tcBorders>
            <w:tcMar>
              <w:bottom w:w="60" w:type="dxa"/>
            </w:tcMar>
            <w:vAlign w:val="center"/>
          </w:tcPr>
          <w:p>
            <w:pPr>
              <w:pStyle w:val="TableContents"/>
              <w:bidi w:val="0"/>
              <w:spacing w:before="0" w:after="283"/>
              <w:jc w:val="center"/>
              <w:rPr>
                <w:b/>
              </w:rPr>
            </w:pPr>
            <w:r>
              <w:rPr>
                <w:b/>
              </w:rPr>
              <w:t>2024</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120" w:type="dxa"/>
            <w:gridSpan w:val="2"/>
            <w:tcBorders>
              <w:bottom w:val="single" w:sz="12" w:space="0" w:color="1070B8"/>
            </w:tcBorders>
            <w:tcMar>
              <w:bottom w:w="60" w:type="dxa"/>
            </w:tcMar>
            <w:vAlign w:val="center"/>
          </w:tcPr>
          <w:p>
            <w:pPr>
              <w:pStyle w:val="TableContents"/>
              <w:bidi w:val="0"/>
              <w:spacing w:before="0" w:after="283"/>
              <w:jc w:val="center"/>
              <w:rPr>
                <w:b/>
              </w:rPr>
            </w:pPr>
            <w:r>
              <w:rPr>
                <w:b/>
              </w:rPr>
              <w:t>2023</w:t>
            </w:r>
          </w:p>
        </w:tc>
        <w:tc>
          <w:tcPr>
            <w:tcW w:w="75" w:type="dxa"/>
            <w:tcBorders>
              <w:bottom w:val="single" w:sz="12" w:space="0" w:color="1070B8"/>
            </w:tcBorders>
            <w:tcMar>
              <w:bottom w:w="28" w:type="dxa"/>
            </w:tcMar>
            <w:vAlign w:val="center"/>
          </w:tcPr>
          <w:p>
            <w:pPr>
              <w:pStyle w:val="TableContents"/>
              <w:bidi w:val="0"/>
              <w:spacing w:before="0" w:after="283"/>
              <w:jc w:val="left"/>
              <w:rPr/>
            </w:pPr>
            <w:r>
              <w:rPr/>
              <w:t> </w:t>
            </w:r>
          </w:p>
        </w:tc>
      </w:tr>
      <w:tr>
        <w:trPr/>
        <w:tc>
          <w:tcPr>
            <w:tcW w:w="1820" w:type="dxa"/>
            <w:tcBorders/>
            <w:shd w:fill="D5DBE3" w:val="clear"/>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1F295C"/>
            </w:tcBorders>
            <w:shd w:fill="D5DBE3" w:val="clear"/>
            <w:tcMar>
              <w:bottom w:w="60" w:type="dxa"/>
            </w:tcMar>
            <w:vAlign w:val="center"/>
          </w:tcPr>
          <w:p>
            <w:pPr>
              <w:pStyle w:val="TableContents"/>
              <w:bidi w:val="0"/>
              <w:spacing w:before="0" w:after="0"/>
              <w:jc w:val="left"/>
              <w:rPr/>
            </w:pPr>
            <w:r>
              <w:rPr/>
              <w:t> </w:t>
            </w:r>
            <w:r>
              <w:rPr>
                <w:rFonts w:ascii="arial" w:hAnsi="arial"/>
                <w:sz w:val="20"/>
              </w:rPr>
              <w:t>Audit Fees</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60" w:type="dxa"/>
            </w:tcMar>
            <w:vAlign w:val="center"/>
          </w:tcPr>
          <w:p>
            <w:pPr>
              <w:pStyle w:val="TableContents"/>
              <w:bidi w:val="0"/>
              <w:spacing w:before="0" w:after="283"/>
              <w:jc w:val="left"/>
              <w:rPr/>
            </w:pPr>
            <w:r>
              <w:rPr/>
              <w:t> </w:t>
            </w:r>
          </w:p>
        </w:tc>
        <w:tc>
          <w:tcPr>
            <w:tcW w:w="1340" w:type="dxa"/>
            <w:tcBorders>
              <w:bottom w:val="single" w:sz="6" w:space="0" w:color="1F295C"/>
            </w:tcBorders>
            <w:tcMar>
              <w:bottom w:w="60" w:type="dxa"/>
            </w:tcMar>
            <w:vAlign w:val="center"/>
          </w:tcPr>
          <w:p>
            <w:pPr>
              <w:pStyle w:val="TableContents"/>
              <w:bidi w:val="0"/>
              <w:spacing w:before="0" w:after="283"/>
              <w:jc w:val="right"/>
              <w:rPr/>
            </w:pPr>
            <w:r>
              <w:rPr/>
              <w:t>$2,569,235</w:t>
            </w:r>
          </w:p>
        </w:tc>
        <w:tc>
          <w:tcPr>
            <w:tcW w:w="60" w:type="dxa"/>
            <w:tcBorders>
              <w:bottom w:val="single" w:sz="6" w:space="0" w:color="1F295C"/>
            </w:tcBorders>
            <w:tcMar>
              <w:bottom w:w="6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140" w:type="dxa"/>
            <w:tcBorders>
              <w:bottom w:val="single" w:sz="6" w:space="0" w:color="1F295C"/>
            </w:tcBorders>
            <w:tcMar>
              <w:bottom w:w="60" w:type="dxa"/>
            </w:tcMar>
            <w:vAlign w:val="center"/>
          </w:tcPr>
          <w:p>
            <w:pPr>
              <w:pStyle w:val="TableContents"/>
              <w:bidi w:val="0"/>
              <w:spacing w:before="0" w:after="283"/>
              <w:jc w:val="left"/>
              <w:rPr/>
            </w:pPr>
            <w:r>
              <w:rPr/>
              <w:t>$</w:t>
            </w:r>
          </w:p>
        </w:tc>
        <w:tc>
          <w:tcPr>
            <w:tcW w:w="980" w:type="dxa"/>
            <w:tcBorders>
              <w:bottom w:val="single" w:sz="6" w:space="0" w:color="1F295C"/>
            </w:tcBorders>
            <w:tcMar>
              <w:bottom w:w="60" w:type="dxa"/>
            </w:tcMar>
            <w:vAlign w:val="center"/>
          </w:tcPr>
          <w:p>
            <w:pPr>
              <w:pStyle w:val="TableContents"/>
              <w:bidi w:val="0"/>
              <w:spacing w:before="0" w:after="283"/>
              <w:jc w:val="right"/>
              <w:rPr/>
            </w:pPr>
            <w:r>
              <w:rPr/>
              <w:t>2,339,666</w:t>
            </w:r>
          </w:p>
        </w:tc>
        <w:tc>
          <w:tcPr>
            <w:tcW w:w="75" w:type="dxa"/>
            <w:tcBorders>
              <w:bottom w:val="single" w:sz="6" w:space="0" w:color="1F295C"/>
            </w:tcBorders>
            <w:tcMar>
              <w:bottom w:w="60" w:type="dxa"/>
            </w:tcM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1F295C"/>
            </w:tcBorders>
            <w:tcMar>
              <w:bottom w:w="60" w:type="dxa"/>
            </w:tcMar>
            <w:vAlign w:val="center"/>
          </w:tcPr>
          <w:p>
            <w:pPr>
              <w:pStyle w:val="TableContents"/>
              <w:bidi w:val="0"/>
              <w:spacing w:before="0" w:after="0"/>
              <w:jc w:val="left"/>
              <w:rPr/>
            </w:pPr>
            <w:r>
              <w:rPr/>
              <w:t> </w:t>
            </w:r>
            <w:r>
              <w:rPr>
                <w:rFonts w:ascii="arial" w:hAnsi="arial"/>
                <w:sz w:val="20"/>
              </w:rPr>
              <w:t>Audit Related Fees</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60" w:type="dxa"/>
            </w:tcMar>
            <w:vAlign w:val="center"/>
          </w:tcPr>
          <w:p>
            <w:pPr>
              <w:pStyle w:val="TableContents"/>
              <w:bidi w:val="0"/>
              <w:spacing w:before="0" w:after="283"/>
              <w:jc w:val="left"/>
              <w:rPr/>
            </w:pPr>
            <w:r>
              <w:rPr/>
              <w:t> </w:t>
            </w:r>
          </w:p>
        </w:tc>
        <w:tc>
          <w:tcPr>
            <w:tcW w:w="1340" w:type="dxa"/>
            <w:tcBorders>
              <w:bottom w:val="single" w:sz="6" w:space="0" w:color="1F295C"/>
            </w:tcBorders>
            <w:tcMar>
              <w:bottom w:w="60" w:type="dxa"/>
            </w:tcMar>
            <w:vAlign w:val="center"/>
          </w:tcPr>
          <w:p>
            <w:pPr>
              <w:pStyle w:val="TableContents"/>
              <w:bidi w:val="0"/>
              <w:spacing w:before="0" w:after="283"/>
              <w:jc w:val="right"/>
              <w:rPr/>
            </w:pPr>
            <w:r>
              <w:rPr/>
              <w:t>$33,442</w:t>
            </w:r>
          </w:p>
        </w:tc>
        <w:tc>
          <w:tcPr>
            <w:tcW w:w="60" w:type="dxa"/>
            <w:tcBorders>
              <w:bottom w:val="single" w:sz="6" w:space="0" w:color="1F295C"/>
            </w:tcBorders>
            <w:tcMar>
              <w:bottom w:w="6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140" w:type="dxa"/>
            <w:tcBorders>
              <w:bottom w:val="single" w:sz="6" w:space="0" w:color="1F295C"/>
            </w:tcBorders>
            <w:tcMar>
              <w:bottom w:w="60" w:type="dxa"/>
            </w:tcMar>
            <w:vAlign w:val="center"/>
          </w:tcPr>
          <w:p>
            <w:pPr>
              <w:pStyle w:val="TableContents"/>
              <w:bidi w:val="0"/>
              <w:spacing w:before="0" w:after="283"/>
              <w:jc w:val="left"/>
              <w:rPr/>
            </w:pPr>
            <w:r>
              <w:rPr/>
              <w:t> </w:t>
            </w:r>
          </w:p>
        </w:tc>
        <w:tc>
          <w:tcPr>
            <w:tcW w:w="980" w:type="dxa"/>
            <w:tcBorders>
              <w:bottom w:val="single" w:sz="6" w:space="0" w:color="1F295C"/>
            </w:tcBorders>
            <w:tcMar>
              <w:bottom w:w="60" w:type="dxa"/>
            </w:tcMar>
            <w:vAlign w:val="center"/>
          </w:tcPr>
          <w:p>
            <w:pPr>
              <w:pStyle w:val="TableContents"/>
              <w:bidi w:val="0"/>
              <w:spacing w:before="0" w:after="283"/>
              <w:jc w:val="right"/>
              <w:rPr/>
            </w:pPr>
            <w:r>
              <w:rPr/>
              <w:t>–</w:t>
            </w:r>
          </w:p>
        </w:tc>
        <w:tc>
          <w:tcPr>
            <w:tcW w:w="75" w:type="dxa"/>
            <w:tcBorders>
              <w:bottom w:val="single" w:sz="6" w:space="0" w:color="1F295C"/>
            </w:tcBorders>
            <w:tcMar>
              <w:bottom w:w="60" w:type="dxa"/>
            </w:tcMar>
            <w:vAlign w:val="center"/>
          </w:tcPr>
          <w:p>
            <w:pPr>
              <w:pStyle w:val="TableContents"/>
              <w:bidi w:val="0"/>
              <w:spacing w:before="0" w:after="283"/>
              <w:jc w:val="left"/>
              <w:rPr/>
            </w:pPr>
            <w:r>
              <w:rPr/>
              <w:t> </w:t>
            </w:r>
          </w:p>
        </w:tc>
      </w:tr>
      <w:tr>
        <w:trPr/>
        <w:tc>
          <w:tcPr>
            <w:tcW w:w="1820" w:type="dxa"/>
            <w:tcBorders/>
            <w:shd w:fill="D5DBE3" w:val="clear"/>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1F295C"/>
            </w:tcBorders>
            <w:shd w:fill="D5DBE3" w:val="clear"/>
            <w:tcMar>
              <w:bottom w:w="60" w:type="dxa"/>
            </w:tcMar>
            <w:vAlign w:val="center"/>
          </w:tcPr>
          <w:p>
            <w:pPr>
              <w:pStyle w:val="TableContents"/>
              <w:bidi w:val="0"/>
              <w:spacing w:before="0" w:after="0"/>
              <w:jc w:val="left"/>
              <w:rPr/>
            </w:pPr>
            <w:r>
              <w:rPr/>
              <w:t> </w:t>
            </w:r>
            <w:r>
              <w:rPr>
                <w:rFonts w:ascii="arial" w:hAnsi="arial"/>
                <w:sz w:val="20"/>
              </w:rPr>
              <w:t>Tax Related Fees</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60" w:type="dxa"/>
            </w:tcMar>
            <w:vAlign w:val="center"/>
          </w:tcPr>
          <w:p>
            <w:pPr>
              <w:pStyle w:val="TableContents"/>
              <w:bidi w:val="0"/>
              <w:spacing w:before="0" w:after="283"/>
              <w:jc w:val="left"/>
              <w:rPr/>
            </w:pPr>
            <w:r>
              <w:rPr/>
              <w:t> </w:t>
            </w:r>
          </w:p>
        </w:tc>
        <w:tc>
          <w:tcPr>
            <w:tcW w:w="1340" w:type="dxa"/>
            <w:tcBorders>
              <w:bottom w:val="single" w:sz="6" w:space="0" w:color="1F295C"/>
            </w:tcBorders>
            <w:tcMar>
              <w:bottom w:w="60" w:type="dxa"/>
            </w:tcMar>
            <w:vAlign w:val="center"/>
          </w:tcPr>
          <w:p>
            <w:pPr>
              <w:pStyle w:val="TableContents"/>
              <w:bidi w:val="0"/>
              <w:spacing w:before="0" w:after="283"/>
              <w:jc w:val="right"/>
              <w:rPr/>
            </w:pPr>
            <w:r>
              <w:rPr/>
              <w:t>     –</w:t>
            </w:r>
          </w:p>
        </w:tc>
        <w:tc>
          <w:tcPr>
            <w:tcW w:w="60" w:type="dxa"/>
            <w:tcBorders>
              <w:bottom w:val="single" w:sz="6" w:space="0" w:color="1F295C"/>
            </w:tcBorders>
            <w:tcMar>
              <w:bottom w:w="6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140" w:type="dxa"/>
            <w:tcBorders>
              <w:bottom w:val="single" w:sz="6" w:space="0" w:color="1F295C"/>
            </w:tcBorders>
            <w:tcMar>
              <w:bottom w:w="60" w:type="dxa"/>
            </w:tcMar>
            <w:vAlign w:val="center"/>
          </w:tcPr>
          <w:p>
            <w:pPr>
              <w:pStyle w:val="TableContents"/>
              <w:bidi w:val="0"/>
              <w:spacing w:before="0" w:after="283"/>
              <w:jc w:val="left"/>
              <w:rPr/>
            </w:pPr>
            <w:r>
              <w:rPr/>
              <w:t> </w:t>
            </w:r>
          </w:p>
        </w:tc>
        <w:tc>
          <w:tcPr>
            <w:tcW w:w="980" w:type="dxa"/>
            <w:tcBorders>
              <w:bottom w:val="single" w:sz="6" w:space="0" w:color="1F295C"/>
            </w:tcBorders>
            <w:tcMar>
              <w:bottom w:w="60" w:type="dxa"/>
            </w:tcMar>
            <w:vAlign w:val="center"/>
          </w:tcPr>
          <w:p>
            <w:pPr>
              <w:pStyle w:val="TableContents"/>
              <w:bidi w:val="0"/>
              <w:spacing w:before="0" w:after="283"/>
              <w:jc w:val="right"/>
              <w:rPr/>
            </w:pPr>
            <w:r>
              <w:rPr/>
              <w:t>–</w:t>
            </w:r>
          </w:p>
        </w:tc>
        <w:tc>
          <w:tcPr>
            <w:tcW w:w="75" w:type="dxa"/>
            <w:tcBorders>
              <w:bottom w:val="single" w:sz="6" w:space="0" w:color="1F295C"/>
            </w:tcBorders>
            <w:tcMar>
              <w:bottom w:w="60" w:type="dxa"/>
            </w:tcM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1F295C"/>
            </w:tcBorders>
            <w:tcMar>
              <w:bottom w:w="60" w:type="dxa"/>
            </w:tcMar>
            <w:vAlign w:val="center"/>
          </w:tcPr>
          <w:p>
            <w:pPr>
              <w:pStyle w:val="TableContents"/>
              <w:bidi w:val="0"/>
              <w:spacing w:before="0" w:after="0"/>
              <w:jc w:val="left"/>
              <w:rPr/>
            </w:pPr>
            <w:r>
              <w:rPr/>
              <w:t> </w:t>
            </w:r>
            <w:r>
              <w:rPr>
                <w:rFonts w:ascii="arial" w:hAnsi="arial"/>
                <w:sz w:val="20"/>
              </w:rPr>
              <w:t>All Other Fees</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60" w:type="dxa"/>
            </w:tcMar>
            <w:vAlign w:val="center"/>
          </w:tcPr>
          <w:p>
            <w:pPr>
              <w:pStyle w:val="TableContents"/>
              <w:bidi w:val="0"/>
              <w:spacing w:before="0" w:after="283"/>
              <w:jc w:val="left"/>
              <w:rPr/>
            </w:pPr>
            <w:r>
              <w:rPr/>
              <w:t> </w:t>
            </w:r>
          </w:p>
        </w:tc>
        <w:tc>
          <w:tcPr>
            <w:tcW w:w="1340" w:type="dxa"/>
            <w:tcBorders>
              <w:bottom w:val="single" w:sz="6" w:space="0" w:color="1F295C"/>
            </w:tcBorders>
            <w:tcMar>
              <w:bottom w:w="60" w:type="dxa"/>
            </w:tcMar>
            <w:vAlign w:val="center"/>
          </w:tcPr>
          <w:p>
            <w:pPr>
              <w:pStyle w:val="TableContents"/>
              <w:bidi w:val="0"/>
              <w:spacing w:before="0" w:after="283"/>
              <w:jc w:val="right"/>
              <w:rPr/>
            </w:pPr>
            <w:r>
              <w:rPr/>
              <w:t>2,037</w:t>
            </w:r>
          </w:p>
        </w:tc>
        <w:tc>
          <w:tcPr>
            <w:tcW w:w="60" w:type="dxa"/>
            <w:tcBorders>
              <w:bottom w:val="single" w:sz="6" w:space="0" w:color="1F295C"/>
            </w:tcBorders>
            <w:tcMar>
              <w:bottom w:w="6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140" w:type="dxa"/>
            <w:tcBorders>
              <w:bottom w:val="single" w:sz="6" w:space="0" w:color="1F295C"/>
            </w:tcBorders>
            <w:tcMar>
              <w:bottom w:w="60" w:type="dxa"/>
            </w:tcMar>
            <w:vAlign w:val="center"/>
          </w:tcPr>
          <w:p>
            <w:pPr>
              <w:pStyle w:val="TableContents"/>
              <w:bidi w:val="0"/>
              <w:spacing w:before="0" w:after="283"/>
              <w:jc w:val="left"/>
              <w:rPr/>
            </w:pPr>
            <w:r>
              <w:rPr/>
              <w:t> </w:t>
            </w:r>
          </w:p>
        </w:tc>
        <w:tc>
          <w:tcPr>
            <w:tcW w:w="980" w:type="dxa"/>
            <w:tcBorders>
              <w:bottom w:val="single" w:sz="6" w:space="0" w:color="1F295C"/>
            </w:tcBorders>
            <w:tcMar>
              <w:bottom w:w="60" w:type="dxa"/>
            </w:tcMar>
            <w:vAlign w:val="center"/>
          </w:tcPr>
          <w:p>
            <w:pPr>
              <w:pStyle w:val="TableContents"/>
              <w:bidi w:val="0"/>
              <w:spacing w:before="0" w:after="283"/>
              <w:jc w:val="right"/>
              <w:rPr/>
            </w:pPr>
            <w:r>
              <w:rPr/>
              <w:t>2,037</w:t>
            </w:r>
          </w:p>
        </w:tc>
        <w:tc>
          <w:tcPr>
            <w:tcW w:w="75" w:type="dxa"/>
            <w:tcBorders>
              <w:bottom w:val="single" w:sz="6" w:space="0" w:color="1F295C"/>
            </w:tcBorders>
            <w:tcMar>
              <w:bottom w:w="60" w:type="dxa"/>
            </w:tcMar>
            <w:vAlign w:val="center"/>
          </w:tcPr>
          <w:p>
            <w:pPr>
              <w:pStyle w:val="TableContents"/>
              <w:bidi w:val="0"/>
              <w:spacing w:before="0" w:after="283"/>
              <w:jc w:val="left"/>
              <w:rPr/>
            </w:pPr>
            <w:r>
              <w:rPr/>
              <w:t> </w:t>
            </w:r>
          </w:p>
        </w:tc>
      </w:tr>
      <w:tr>
        <w:trPr/>
        <w:tc>
          <w:tcPr>
            <w:tcW w:w="1820" w:type="dxa"/>
            <w:tcBorders/>
            <w:shd w:fill="D5DBE3" w:val="clear"/>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12" w:space="0" w:color="1070B8"/>
            </w:tcBorders>
            <w:shd w:fill="D5DBE3" w:val="clear"/>
            <w:tcMar>
              <w:bottom w:w="60" w:type="dxa"/>
            </w:tcMar>
            <w:vAlign w:val="center"/>
          </w:tcPr>
          <w:p>
            <w:pPr>
              <w:pStyle w:val="TableContents"/>
              <w:bidi w:val="0"/>
              <w:spacing w:before="0" w:after="0"/>
              <w:jc w:val="left"/>
              <w:rPr/>
            </w:pPr>
            <w:r>
              <w:rPr/>
              <w:t> </w:t>
            </w:r>
            <w:r>
              <w:rPr>
                <w:rFonts w:ascii="arial" w:hAnsi="arial"/>
                <w:sz w:val="20"/>
              </w:rPr>
              <w:t>Total</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1340" w:type="dxa"/>
            <w:tcBorders>
              <w:bottom w:val="single" w:sz="12" w:space="0" w:color="1070B8"/>
            </w:tcBorders>
            <w:tcMar>
              <w:bottom w:w="60" w:type="dxa"/>
            </w:tcMar>
            <w:vAlign w:val="center"/>
          </w:tcPr>
          <w:p>
            <w:pPr>
              <w:pStyle w:val="TableContents"/>
              <w:bidi w:val="0"/>
              <w:spacing w:before="0" w:after="283"/>
              <w:jc w:val="right"/>
              <w:rPr/>
            </w:pPr>
            <w:r>
              <w:rPr/>
              <w:t>$2,604,714</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40" w:type="dxa"/>
            <w:tcBorders>
              <w:bottom w:val="single" w:sz="12" w:space="0" w:color="1070B8"/>
            </w:tcBorders>
            <w:tcMar>
              <w:bottom w:w="60" w:type="dxa"/>
            </w:tcMar>
            <w:vAlign w:val="center"/>
          </w:tcPr>
          <w:p>
            <w:pPr>
              <w:pStyle w:val="TableContents"/>
              <w:bidi w:val="0"/>
              <w:spacing w:before="0" w:after="283"/>
              <w:jc w:val="left"/>
              <w:rPr/>
            </w:pPr>
            <w:r>
              <w:rPr/>
              <w:t>$</w:t>
            </w:r>
          </w:p>
        </w:tc>
        <w:tc>
          <w:tcPr>
            <w:tcW w:w="980" w:type="dxa"/>
            <w:tcBorders>
              <w:bottom w:val="single" w:sz="12" w:space="0" w:color="1070B8"/>
            </w:tcBorders>
            <w:tcMar>
              <w:bottom w:w="60" w:type="dxa"/>
            </w:tcMar>
            <w:vAlign w:val="center"/>
          </w:tcPr>
          <w:p>
            <w:pPr>
              <w:pStyle w:val="TableContents"/>
              <w:bidi w:val="0"/>
              <w:spacing w:before="0" w:after="283"/>
              <w:jc w:val="right"/>
              <w:rPr/>
            </w:pPr>
            <w:r>
              <w:rPr/>
              <w:t>2,341,703</w:t>
            </w:r>
          </w:p>
        </w:tc>
        <w:tc>
          <w:tcPr>
            <w:tcW w:w="75" w:type="dxa"/>
            <w:tcBorders>
              <w:bottom w:val="single" w:sz="12" w:space="0" w:color="1070B8"/>
            </w:tcBorders>
            <w:tcMar>
              <w:bottom w:w="6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Audit Fees include fees for professional services rendered in connection with the audit of our annual consolidated financial statements and internal control over financial reporting, review of our quarterly consolidated financial statements and services that are normally provided in connection with statutory and regulatory filings or engagements. </w:t>
      </w:r>
    </w:p>
    <w:p>
      <w:pPr>
        <w:pStyle w:val="TextBody"/>
        <w:bidi w:val="0"/>
        <w:spacing w:before="240" w:after="0"/>
        <w:jc w:val="left"/>
        <w:rPr>
          <w:rFonts w:ascii="arial" w:hAnsi="arial"/>
          <w:sz w:val="20"/>
        </w:rPr>
      </w:pPr>
      <w:r>
        <w:rPr>
          <w:rFonts w:ascii="arial" w:hAnsi="arial"/>
          <w:sz w:val="20"/>
        </w:rPr>
        <w:t xml:space="preserve">Audit Related Fees were fees for permissible advisory services in connection with enterprise risk management services. </w:t>
      </w:r>
    </w:p>
    <w:p>
      <w:pPr>
        <w:pStyle w:val="TextBody"/>
        <w:bidi w:val="0"/>
        <w:spacing w:before="240" w:after="0"/>
        <w:jc w:val="left"/>
        <w:rPr>
          <w:rFonts w:ascii="arial" w:hAnsi="arial"/>
          <w:sz w:val="20"/>
        </w:rPr>
      </w:pPr>
      <w:r>
        <w:rPr>
          <w:rFonts w:ascii="arial" w:hAnsi="arial"/>
          <w:sz w:val="20"/>
        </w:rPr>
        <w:t xml:space="preserve">Tax Related Fees were fees for professional services rendered in connection with tax consultation services. </w:t>
      </w:r>
    </w:p>
    <w:p>
      <w:pPr>
        <w:pStyle w:val="TextBody"/>
        <w:bidi w:val="0"/>
        <w:spacing w:before="240" w:after="0"/>
        <w:jc w:val="left"/>
        <w:rPr>
          <w:rFonts w:ascii="arial" w:hAnsi="arial"/>
          <w:sz w:val="20"/>
        </w:rPr>
      </w:pPr>
      <w:r>
        <w:rPr>
          <w:rFonts w:ascii="arial" w:hAnsi="arial"/>
          <w:sz w:val="20"/>
        </w:rPr>
        <w:t xml:space="preserve">All Other Fees were fees for permissible work performed by Deloitte that does not fit within the above categories. The fees under this category are related to technical subscriptions. </w:t>
      </w:r>
    </w:p>
    <w:p>
      <w:pPr>
        <w:pStyle w:val="TextBody"/>
        <w:bidi w:val="0"/>
        <w:spacing w:before="240" w:after="0"/>
        <w:jc w:val="left"/>
        <w:rPr>
          <w:rFonts w:ascii="arial" w:hAnsi="arial"/>
          <w:b/>
          <w:color w:val="1F295C"/>
          <w:sz w:val="24"/>
        </w:rPr>
      </w:pPr>
      <w:bookmarkStart w:id="49" w:name="toc849638_51"/>
      <w:bookmarkEnd w:id="49"/>
      <w:r>
        <w:rPr>
          <w:rFonts w:ascii="arial" w:hAnsi="arial"/>
          <w:b/>
          <w:color w:val="1F295C"/>
          <w:sz w:val="24"/>
        </w:rPr>
        <w:t xml:space="preserve">Pre-Approval of Services </w:t>
      </w:r>
    </w:p>
    <w:p>
      <w:pPr>
        <w:pStyle w:val="TextBody"/>
        <w:bidi w:val="0"/>
        <w:spacing w:before="240" w:after="0"/>
        <w:jc w:val="left"/>
        <w:rPr>
          <w:rFonts w:ascii="arial" w:hAnsi="arial"/>
          <w:sz w:val="20"/>
        </w:rPr>
      </w:pPr>
      <w:r>
        <w:rPr>
          <w:rFonts w:ascii="arial" w:hAnsi="arial"/>
          <w:sz w:val="20"/>
        </w:rPr>
        <w:t xml:space="preserve">The Audit Committee has established a policy requiring pre-approval of all audit and non-audit services provided by our independent registered public accounting firm. On an ongoing basis, management submits to the Audit Committee specific projects and services to be performed by Deloitte for which it seeks advance approval. The Audit Committee reviews these requests and determines whether to approve the requested engagement. Periodically management reports to the Audit Committee the actual spending for such projects and services compared to the approved amounts. All services provided by Deloitte in 2024 were pre-approved by the Audit Committee in accordance with this policy.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2 – Ratification of the Appointment of our Independent Registered Public Accounting Firm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12" w:space="0" w:color="1070B8"/>
            </w:tcBorders>
            <w:shd w:fill="ACB9CA"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color w:val="1F295C"/>
              </w:rPr>
            </w:pPr>
            <w:bookmarkStart w:id="50" w:name="toc849638_52"/>
            <w:bookmarkEnd w:id="50"/>
            <w:r>
              <w:rPr>
                <w:color w:val="1F295C"/>
              </w:rPr>
              <w:t> </w:t>
            </w:r>
            <w:r>
              <w:rPr>
                <w:rFonts w:ascii="arial" w:hAnsi="arial"/>
                <w:b/>
                <w:color w:val="1F295C"/>
                <w:sz w:val="24"/>
              </w:rPr>
              <w:t>Report of the Audit Committee</w:t>
            </w:r>
          </w:p>
          <w:p>
            <w:pPr>
              <w:pStyle w:val="TableContents"/>
              <w:bidi w:val="0"/>
              <w:spacing w:before="0" w:after="0"/>
              <w:jc w:val="left"/>
              <w:rPr/>
            </w:pPr>
            <w:r>
              <w:rPr/>
              <w:t> </w:t>
            </w:r>
          </w:p>
          <w:p>
            <w:pPr>
              <w:pStyle w:val="TableContents"/>
              <w:bidi w:val="0"/>
              <w:spacing w:before="0" w:after="20"/>
              <w:jc w:val="left"/>
              <w:rPr/>
            </w:pPr>
            <w:r>
              <w:rPr/>
              <w:t> </w:t>
            </w:r>
          </w:p>
        </w:tc>
      </w:tr>
      <w:tr>
        <w:trPr/>
        <w:tc>
          <w:tcPr>
            <w:tcW w:w="10205" w:type="dxa"/>
            <w:tcBorders>
              <w:bottom w:val="single" w:sz="12" w:space="0" w:color="1070B8"/>
            </w:tcBorders>
            <w:shd w:fill="EDEDED" w:val="clear"/>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Management is responsible for the preparation and presentation of the Company’s financial statements and for developing and maintaining internal controls over financial reporting and procedures that are reasonably designed to assure compliance with accounting standards and applicable law. The Company’s independent registered public accounting firm, Deloitte &amp; Touche LLP (“Deloitte”), is responsible for performing an independent audit of the Company’s consolidated financial statements in accordance with the standards of the Public Company Accounting Oversight Board (United States) (“PCAOB”).</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Audit Committee’s responsibility is to provide independent and objective oversight of the Company’s financial reporting and internal controls processes and the audit work of Deloitte. In fulfilling its oversight responsibilities, the Audit Committee has reviewed and discussed with management and Deloitte the Company’s audited consolidated financial statements for the fiscal year ended December 31, 2024, the fair and complete presentation of the Company’s results and the assessment of the Company’s internal controls over financial reporting. The Audit Committee discussed significant accounting policies applied in the Company’s financial statements, and, when applicable, alternative accounting treatments. Management represented to the Audit Committee that the financial statements were prepared in accordance with accounting principles generally accepted in the United States. The Audit Committee has also discussed with Deloitte the matters required by the applicable requirements of the PCAOB and the Securities and Exchange Commission.</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In addition, the Audit Committee reviewed and discussed with Deloitte its independence from the Company and management. As part of that review, the Audit Committee received the written disclosures from Deloitte required by the PCAOB, and the Audit Committee considered and discussed Deloitte’s independence, including whether the firm’s provision of non-audit services to the Company is compatible with its independence. The Audit Committee concluded that Deloitte is independent from the Company and its management.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Audit Committee discussed with the Company’s Internal Audit department and Deloitte the overall scope of and plans for their respective audits. The Audit Committee meets with the Vice President of Internal Audit and representatives of Deloitte, in regular and executive sessions, to discuss the results of their examinations, the evaluations of the Company’s internal controls and the overall quality of the Company’s financial reporting and compliance programs.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Based on these reviews and discussions, the Audit Committee has recommended to the Board that the audited consolidated financial statements for 2024 be included in the Company’s Annual Report on Form 10-K for the fiscal year ended December 31, 2024. The Audit Committee has selected, and the Board of Directors has ratified the selection of, Deloitte as the Company’s independent registered public accounting firm for 2025.</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Audit Committee</w:t>
            </w:r>
          </w:p>
          <w:p>
            <w:pPr>
              <w:pStyle w:val="TableContents"/>
              <w:bidi w:val="0"/>
              <w:spacing w:before="0" w:after="0"/>
              <w:jc w:val="left"/>
              <w:rPr/>
            </w:pPr>
            <w:r>
              <w:rPr/>
              <w:t> </w:t>
            </w:r>
          </w:p>
          <w:p>
            <w:pPr>
              <w:pStyle w:val="TableContents"/>
              <w:bidi w:val="0"/>
              <w:spacing w:before="0" w:after="0"/>
              <w:jc w:val="left"/>
              <w:rPr>
                <w:rFonts w:ascii="arial" w:hAnsi="arial"/>
                <w:i/>
                <w:sz w:val="18"/>
              </w:rPr>
            </w:pPr>
            <w:r>
              <w:rPr>
                <w:rFonts w:ascii="arial" w:hAnsi="arial"/>
                <w:i/>
                <w:sz w:val="18"/>
              </w:rPr>
              <w:t>Lawrence A. Hilsheimer (Chair)</w:t>
            </w:r>
          </w:p>
          <w:p>
            <w:pPr>
              <w:pStyle w:val="TableContents"/>
              <w:bidi w:val="0"/>
              <w:spacing w:before="0" w:after="0"/>
              <w:jc w:val="left"/>
              <w:rPr>
                <w:rFonts w:ascii="arial" w:hAnsi="arial"/>
                <w:i/>
                <w:sz w:val="18"/>
              </w:rPr>
            </w:pPr>
            <w:r>
              <w:rPr>
                <w:rFonts w:ascii="arial" w:hAnsi="arial"/>
                <w:i/>
                <w:sz w:val="18"/>
              </w:rPr>
              <w:t>Margot L. Carter</w:t>
            </w:r>
          </w:p>
          <w:p>
            <w:pPr>
              <w:pStyle w:val="TableContents"/>
              <w:bidi w:val="0"/>
              <w:spacing w:before="0" w:after="0"/>
              <w:jc w:val="left"/>
              <w:rPr>
                <w:rFonts w:ascii="arial" w:hAnsi="arial"/>
                <w:i/>
                <w:sz w:val="18"/>
              </w:rPr>
            </w:pPr>
            <w:r>
              <w:rPr>
                <w:rFonts w:ascii="arial" w:hAnsi="arial"/>
                <w:i/>
                <w:sz w:val="18"/>
              </w:rPr>
              <w:t>Michael H. Thomas</w:t>
            </w:r>
          </w:p>
          <w:p>
            <w:pPr>
              <w:pStyle w:val="TableContents"/>
              <w:bidi w:val="0"/>
              <w:spacing w:before="0" w:after="20"/>
              <w:jc w:val="left"/>
              <w:rPr/>
            </w:pPr>
            <w:r>
              <w:rPr/>
              <w:t> </w:t>
            </w:r>
          </w:p>
        </w:tc>
      </w:tr>
    </w:tbl>
    <w:p>
      <w:pPr>
        <w:pStyle w:val="TextBody"/>
        <w:bidi w:val="0"/>
        <w:spacing w:before="240" w:after="0"/>
        <w:jc w:val="left"/>
        <w:rPr>
          <w:rFonts w:ascii="arial" w:hAnsi="arial"/>
          <w:b/>
          <w:color w:val="1F295C"/>
          <w:sz w:val="24"/>
        </w:rPr>
      </w:pPr>
      <w:bookmarkStart w:id="51" w:name="toc849638_53"/>
      <w:bookmarkEnd w:id="51"/>
      <w:r>
        <w:rPr>
          <w:rFonts w:ascii="arial" w:hAnsi="arial"/>
          <w:b/>
          <w:color w:val="1F295C"/>
          <w:sz w:val="24"/>
        </w:rPr>
        <w:t xml:space="preserve">Required Vote and Recommendation of the Board </w:t>
      </w:r>
    </w:p>
    <w:p>
      <w:pPr>
        <w:pStyle w:val="TextBody"/>
        <w:bidi w:val="0"/>
        <w:spacing w:before="240" w:after="0"/>
        <w:jc w:val="left"/>
        <w:rPr>
          <w:rFonts w:ascii="arial" w:hAnsi="arial"/>
          <w:sz w:val="20"/>
        </w:rPr>
      </w:pPr>
      <w:r>
        <w:rPr>
          <w:rFonts w:ascii="arial" w:hAnsi="arial"/>
          <w:sz w:val="20"/>
        </w:rPr>
        <w:t xml:space="preserve">The affirmative vote of a majority of the shares present or represented by proxy at the Annual Meeting and entitled to vote is required to ratify the appointment of Deloitte as our independent registered public accounting firm for 2025. Brokers have discretion to vote on this proposal in the absence of voting instructions. Abstentions will have the same effect as votes “AGAINST” this proposal. Broker non-votes will have no effect on the outcome of this proposal. Unless otherwise instructed, the persons named as proxies will vote “FOR” this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4"/>
        <w:gridCol w:w="60"/>
        <w:gridCol w:w="8995"/>
        <w:gridCol w:w="60"/>
        <w:gridCol w:w="76"/>
      </w:tblGrid>
      <w:tr>
        <w:trPr/>
        <w:tc>
          <w:tcPr>
            <w:tcW w:w="1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014" w:type="dxa"/>
            <w:tcBorders>
              <w:top w:val="single" w:sz="12" w:space="0" w:color="1070B8"/>
              <w:left w:val="single" w:sz="12" w:space="0" w:color="1070B8"/>
              <w:bottom w:val="single" w:sz="12" w:space="0" w:color="1070B8"/>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624840" cy="686435"/>
                  <wp:effectExtent l="0" t="0" r="0" b="0"/>
                  <wp:docPr id="6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7" descr=""/>
                          <pic:cNvPicPr>
                            <a:picLocks noChangeAspect="1" noChangeArrowheads="1"/>
                          </pic:cNvPicPr>
                        </pic:nvPicPr>
                        <pic:blipFill>
                          <a:blip r:embed="rId68"/>
                          <a:stretch>
                            <a:fillRect/>
                          </a:stretch>
                        </pic:blipFill>
                        <pic:spPr bwMode="auto">
                          <a:xfrm>
                            <a:off x="0" y="0"/>
                            <a:ext cx="624840" cy="68643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top w:val="single" w:sz="12" w:space="0" w:color="1070B8"/>
              <w:bottom w:val="single" w:sz="12" w:space="0" w:color="1070B8"/>
            </w:tcBorders>
            <w:tcMar>
              <w:top w:w="28" w:type="dxa"/>
              <w:bottom w:w="28" w:type="dxa"/>
            </w:tcMar>
            <w:vAlign w:val="center"/>
          </w:tcPr>
          <w:p>
            <w:pPr>
              <w:pStyle w:val="TableContents"/>
              <w:bidi w:val="0"/>
              <w:spacing w:before="0" w:after="283"/>
              <w:jc w:val="left"/>
              <w:rPr/>
            </w:pPr>
            <w:r>
              <w:rPr/>
              <w:t> </w:t>
            </w:r>
          </w:p>
        </w:tc>
        <w:tc>
          <w:tcPr>
            <w:tcW w:w="8995" w:type="dxa"/>
            <w:tcBorders>
              <w:top w:val="single" w:sz="12" w:space="0" w:color="1070B8"/>
              <w:bottom w:val="single" w:sz="12" w:space="0" w:color="1070B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4"/>
              </w:rPr>
            </w:pPr>
            <w:r>
              <w:rPr>
                <w:rFonts w:ascii="arial" w:hAnsi="arial"/>
                <w:b/>
                <w:color w:val="1F295C"/>
                <w:sz w:val="24"/>
              </w:rPr>
              <w:t>THE BOARD OF DIRECTORS UNANIMOUSLY RECOMMENDS THAT YOU VOTE “FOR” THE RATIFICATION OF THE APPOINTMENT OF DELOITTE &amp; TOUCHE LLP AS OUR INDEPENDENT REGISTERED PUBLIC ACCOUNTING FIRM FOR 2025.</w:t>
            </w:r>
          </w:p>
          <w:p>
            <w:pPr>
              <w:pStyle w:val="TableContents"/>
              <w:bidi w:val="0"/>
              <w:spacing w:before="0" w:after="0"/>
              <w:jc w:val="left"/>
              <w:rPr/>
            </w:pPr>
            <w:r>
              <w:rPr/>
              <w:t> </w:t>
            </w:r>
          </w:p>
          <w:p>
            <w:pPr>
              <w:pStyle w:val="TableContents"/>
              <w:bidi w:val="0"/>
              <w:spacing w:before="0" w:after="0"/>
              <w:jc w:val="left"/>
              <w:rPr>
                <w:rFonts w:ascii="arial" w:hAnsi="arial"/>
                <w:b/>
                <w:color w:val="1F295C"/>
                <w:sz w:val="24"/>
              </w:rPr>
            </w:pPr>
            <w:r>
              <w:rPr>
                <w:rFonts w:ascii="arial" w:hAnsi="arial"/>
                <w:b/>
                <w:color w:val="1F295C"/>
                <w:sz w:val="24"/>
              </w:rPr>
              <w:t>THE BOARD BELIEVES THAT IT IS IN THE BEST INTERESTS OF THE COMPANY AND ITS STOCKHOLDERS TO RETAIN DELOITTE AS OUR PUBLIC ACCOUNTING FIRM.</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12" w:space="0" w:color="1070B8"/>
              <w:bottom w:val="single" w:sz="12" w:space="0" w:color="1070B8"/>
            </w:tcBorders>
            <w:tcMar>
              <w:top w:w="28" w:type="dxa"/>
              <w:bottom w:w="28" w:type="dxa"/>
            </w:tcMar>
            <w:vAlign w:val="center"/>
          </w:tcPr>
          <w:p>
            <w:pPr>
              <w:pStyle w:val="TableContents"/>
              <w:bidi w:val="0"/>
              <w:spacing w:before="0" w:after="283"/>
              <w:jc w:val="left"/>
              <w:rPr/>
            </w:pPr>
            <w:r>
              <w:rPr/>
              <w:t> </w:t>
            </w:r>
          </w:p>
        </w:tc>
        <w:tc>
          <w:tcPr>
            <w:tcW w:w="76" w:type="dxa"/>
            <w:tcBorders>
              <w:top w:val="single" w:sz="12" w:space="0" w:color="1070B8"/>
              <w:bottom w:val="single" w:sz="12" w:space="0" w:color="1070B8"/>
              <w:right w:val="single" w:sz="12" w:space="0" w:color="1070B8"/>
            </w:tcBorders>
            <w:tcMar>
              <w:top w:w="28" w:type="dxa"/>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2 – Ratification of the Appointment of our Independent Registered Public Accounting Firm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bookmarkStart w:id="52" w:name="toc849638_54"/>
      <w:bookmarkEnd w:id="52"/>
      <w:r>
        <w:rPr>
          <w:rFonts w:ascii="Times New Roman" w:hAnsi="Times New Roman"/>
          <w:b/>
          <w:color w:val="1070B8"/>
          <w:sz w:val="44"/>
        </w:rPr>
        <w:t xml:space="preserve">PROPOSAL 3 – NON-BINDING ADVISORY VOTE ON EXECUTIVE COMPENSATION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sz w:val="20"/>
        </w:rPr>
        <w:t xml:space="preserve">As required by Section 14A of the Securities Exchange Act of 1934 (the “Exchange Act”) and as a matter of good corporate governance, we are seeking stockholder approval of our executive compensation program. This vote is not intended to address any specific item of compensation, but rather the overall compensation of our named executive officers (“NEOs”) and the executive compensation program and practices described in this Proxy Statement. </w:t>
      </w:r>
    </w:p>
    <w:p>
      <w:pPr>
        <w:pStyle w:val="TextBody"/>
        <w:bidi w:val="0"/>
        <w:spacing w:before="240" w:after="0"/>
        <w:jc w:val="left"/>
        <w:rPr>
          <w:rFonts w:ascii="arial" w:hAnsi="arial"/>
          <w:sz w:val="20"/>
        </w:rPr>
      </w:pPr>
      <w:r>
        <w:rPr>
          <w:rFonts w:ascii="arial" w:hAnsi="arial"/>
          <w:sz w:val="20"/>
        </w:rPr>
        <w:t xml:space="preserve">Stockholders are being asked to vote on the following advisory resolution: </w:t>
      </w:r>
    </w:p>
    <w:p>
      <w:pPr>
        <w:pStyle w:val="TextBody"/>
        <w:bidi w:val="0"/>
        <w:spacing w:before="240" w:after="0"/>
        <w:jc w:val="left"/>
        <w:rPr/>
      </w:pPr>
      <w:r>
        <w:rPr/>
        <w:t>“</w:t>
      </w:r>
      <w:r>
        <w:rPr>
          <w:rFonts w:ascii="arial" w:hAnsi="arial"/>
          <w:i/>
          <w:sz w:val="20"/>
        </w:rPr>
        <w:t xml:space="preserve">RESOLVED, that the Company’s stockholders approve, on an advisory basis, the compensation of the Company’s named executive officers for 2024, as disclosed pursuant to the compensation disclosure rules of the Securities and Exchange Commission, including the Compensation Discussion and Analysis and accompanying compensation tables and related narrative disclosures in the Company’s Proxy Statement.” </w:t>
      </w:r>
    </w:p>
    <w:p>
      <w:pPr>
        <w:pStyle w:val="TextBody"/>
        <w:bidi w:val="0"/>
        <w:spacing w:before="240" w:after="0"/>
        <w:jc w:val="left"/>
        <w:rPr>
          <w:rFonts w:ascii="arial" w:hAnsi="arial"/>
          <w:sz w:val="20"/>
        </w:rPr>
      </w:pPr>
      <w:r>
        <w:rPr>
          <w:rFonts w:ascii="arial" w:hAnsi="arial"/>
          <w:sz w:val="20"/>
        </w:rPr>
        <w:t xml:space="preserve">We have a pay for performance philosophy that forms the foundation of our decisions regarding payment of executive compensation. We believe that this philosophy and the compensation structure established by the CHC Committee are central to our ability to attract, retain and motivate individuals who can achieve superior financial results in the best interests of the Company and our stockholders. We link pay to performance by weighting a significant portion of the target compensation of our NEOs in variable, or “at risk,” compensation elements. We also align our NEOs’ financial interests with those of our stockholders by awarding a substantial portion of total compensation in the form of equity that is coupled with stock ownership requirements. </w:t>
      </w:r>
    </w:p>
    <w:p>
      <w:pPr>
        <w:pStyle w:val="TextBody"/>
        <w:bidi w:val="0"/>
        <w:spacing w:before="240" w:after="0"/>
        <w:jc w:val="left"/>
        <w:rPr>
          <w:rFonts w:ascii="arial" w:hAnsi="arial"/>
          <w:sz w:val="20"/>
        </w:rPr>
      </w:pPr>
      <w:r>
        <w:rPr>
          <w:rFonts w:ascii="arial" w:hAnsi="arial"/>
          <w:sz w:val="20"/>
        </w:rPr>
        <w:t>We urge you to read “</w:t>
      </w:r>
      <w:r>
        <w:rPr>
          <w:rFonts w:ascii="arial" w:hAnsi="arial"/>
          <w:i/>
          <w:sz w:val="20"/>
        </w:rPr>
        <w:t>Executive Compensation – Compensation Discussion and Analysis</w:t>
      </w:r>
      <w:r>
        <w:rPr>
          <w:rFonts w:ascii="arial" w:hAnsi="arial"/>
          <w:sz w:val="20"/>
        </w:rPr>
        <w:t xml:space="preserve">” below, which describes in detail how our executive compensation program operates and is designed to achieve our compensation objectives, as well as the accompanying compensation tables and narratives that provide detailed information on the compensation of our NEOs. </w:t>
      </w:r>
    </w:p>
    <w:p>
      <w:pPr>
        <w:pStyle w:val="TextBody"/>
        <w:bidi w:val="0"/>
        <w:spacing w:before="240" w:after="0"/>
        <w:jc w:val="left"/>
        <w:rPr>
          <w:rFonts w:ascii="arial" w:hAnsi="arial"/>
          <w:sz w:val="20"/>
        </w:rPr>
      </w:pPr>
      <w:r>
        <w:rPr>
          <w:rFonts w:ascii="arial" w:hAnsi="arial"/>
          <w:sz w:val="20"/>
        </w:rPr>
        <w:t xml:space="preserve">This advisory vote, commonly referred to as a “say-on-pay” advisory vote, is non-binding. However, the outcome of the vote will provide valuable information to the CHC Committee regarding stockholder sentiment about our compensation program, which the CHC Committee will consider when making future decisions regarding the compensation of our NEOs. Our executive compensation program was strongly supported by our stockholders in 2024, with approximately 96% of the votes cast at the 2024 Annual Meeting of Stockholders voting in favor. We have held a similar stockholder vote every year since 2017 and expect to hold a similar vote at the 2026 Annual Meeting of Stockholders. </w:t>
      </w:r>
    </w:p>
    <w:p>
      <w:pPr>
        <w:pStyle w:val="TextBody"/>
        <w:bidi w:val="0"/>
        <w:spacing w:before="240" w:after="0"/>
        <w:jc w:val="left"/>
        <w:rPr>
          <w:rFonts w:ascii="arial" w:hAnsi="arial"/>
          <w:b/>
          <w:color w:val="1F295C"/>
          <w:sz w:val="24"/>
        </w:rPr>
      </w:pPr>
      <w:bookmarkStart w:id="53" w:name="toc849638_55"/>
      <w:bookmarkEnd w:id="53"/>
      <w:r>
        <w:rPr>
          <w:rFonts w:ascii="arial" w:hAnsi="arial"/>
          <w:b/>
          <w:color w:val="1F295C"/>
          <w:sz w:val="24"/>
        </w:rPr>
        <w:t xml:space="preserve">Required Vote and Recommendation of the Board </w:t>
      </w:r>
    </w:p>
    <w:p>
      <w:pPr>
        <w:pStyle w:val="TextBody"/>
        <w:bidi w:val="0"/>
        <w:spacing w:before="240" w:after="0"/>
        <w:jc w:val="left"/>
        <w:rPr>
          <w:rFonts w:ascii="arial" w:hAnsi="arial"/>
          <w:sz w:val="20"/>
        </w:rPr>
      </w:pPr>
      <w:r>
        <w:rPr>
          <w:rFonts w:ascii="arial" w:hAnsi="arial"/>
          <w:sz w:val="20"/>
        </w:rPr>
        <w:t xml:space="preserve">The affirmative vote of a majority of the shares present or represented by proxy at the Annual Meeting and entitled to vote is required for approval of this advisory resolution. Abstentions will have the same effect as votes “AGAINST” this proposal. Broker non-votes will have no effect on the outcome of the proposal. Unless otherwise instructed, the persons named as proxies will vote “FOR” this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5"/>
        <w:gridCol w:w="120"/>
        <w:gridCol w:w="9070"/>
      </w:tblGrid>
      <w:tr>
        <w:trPr/>
        <w:tc>
          <w:tcPr>
            <w:tcW w:w="1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70" w:type="dxa"/>
            <w:tcBorders/>
            <w:vAlign w:val="center"/>
          </w:tcPr>
          <w:p>
            <w:pPr>
              <w:pStyle w:val="TableContents"/>
              <w:bidi w:val="0"/>
              <w:spacing w:before="0" w:after="283"/>
              <w:jc w:val="left"/>
              <w:rPr>
                <w:sz w:val="4"/>
                <w:szCs w:val="4"/>
              </w:rPr>
            </w:pPr>
            <w:r>
              <w:rPr>
                <w:sz w:val="4"/>
                <w:szCs w:val="4"/>
              </w:rPr>
            </w:r>
          </w:p>
        </w:tc>
      </w:tr>
      <w:tr>
        <w:trPr/>
        <w:tc>
          <w:tcPr>
            <w:tcW w:w="1015" w:type="dxa"/>
            <w:tcBorders>
              <w:top w:val="single" w:sz="12" w:space="0" w:color="1070B8"/>
              <w:left w:val="single" w:sz="12" w:space="0" w:color="1070B8"/>
              <w:bottom w:val="single" w:sz="12" w:space="0" w:color="1070B8"/>
            </w:tcBorders>
            <w:tcMar>
              <w:top w:w="28" w:type="dxa"/>
              <w:left w:w="160" w:type="dxa"/>
              <w:bottom w:w="28" w:type="dxa"/>
            </w:tcMar>
            <w:vAlign w:val="center"/>
          </w:tcPr>
          <w:p>
            <w:pPr>
              <w:pStyle w:val="TableContents"/>
              <w:bidi w:val="0"/>
              <w:spacing w:before="0" w:after="0"/>
              <w:jc w:val="center"/>
              <w:rPr/>
            </w:pPr>
            <w:r>
              <w:rPr/>
              <w:drawing>
                <wp:inline distT="0" distB="0" distL="0" distR="0">
                  <wp:extent cx="624840" cy="686435"/>
                  <wp:effectExtent l="0" t="0" r="0" b="0"/>
                  <wp:docPr id="7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8" descr=""/>
                          <pic:cNvPicPr>
                            <a:picLocks noChangeAspect="1" noChangeArrowheads="1"/>
                          </pic:cNvPicPr>
                        </pic:nvPicPr>
                        <pic:blipFill>
                          <a:blip r:embed="rId69"/>
                          <a:stretch>
                            <a:fillRect/>
                          </a:stretch>
                        </pic:blipFill>
                        <pic:spPr bwMode="auto">
                          <a:xfrm>
                            <a:off x="0" y="0"/>
                            <a:ext cx="624840" cy="686435"/>
                          </a:xfrm>
                          <a:prstGeom prst="rect">
                            <a:avLst/>
                          </a:prstGeom>
                        </pic:spPr>
                      </pic:pic>
                    </a:graphicData>
                  </a:graphic>
                </wp:inline>
              </w:drawing>
            </w:r>
            <w:r>
              <w:rPr/>
              <w:t xml:space="preserve"> </w:t>
            </w:r>
          </w:p>
        </w:tc>
        <w:tc>
          <w:tcPr>
            <w:tcW w:w="120" w:type="dxa"/>
            <w:tcBorders>
              <w:top w:val="single" w:sz="12" w:space="0" w:color="1070B8"/>
              <w:bottom w:val="single" w:sz="12" w:space="0" w:color="1070B8"/>
            </w:tcBorders>
            <w:tcMar>
              <w:top w:w="28" w:type="dxa"/>
              <w:bottom w:w="28" w:type="dxa"/>
            </w:tcMar>
            <w:vAlign w:val="center"/>
          </w:tcPr>
          <w:p>
            <w:pPr>
              <w:pStyle w:val="TableContents"/>
              <w:bidi w:val="0"/>
              <w:spacing w:before="0" w:after="283"/>
              <w:jc w:val="left"/>
              <w:rPr/>
            </w:pPr>
            <w:r>
              <w:rPr/>
              <w:t>  </w:t>
            </w:r>
          </w:p>
        </w:tc>
        <w:tc>
          <w:tcPr>
            <w:tcW w:w="9070" w:type="dxa"/>
            <w:tcBorders>
              <w:top w:val="single" w:sz="12" w:space="0" w:color="1070B8"/>
              <w:bottom w:val="single" w:sz="12" w:space="0" w:color="1070B8"/>
              <w:right w:val="single" w:sz="12" w:space="0" w:color="1070B8"/>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F295C"/>
                <w:sz w:val="24"/>
              </w:rPr>
            </w:pPr>
            <w:r>
              <w:rPr>
                <w:rFonts w:ascii="arial" w:hAnsi="arial"/>
                <w:b/>
                <w:color w:val="1F295C"/>
                <w:sz w:val="24"/>
              </w:rPr>
              <w:t>THE BOARD UNANIMOUSLY RECOMMENDS THAT YOU VOTE “FOR” THE NON-BINDING ADVISORY RESOLUTION APPROVING THE COMPENSATION OF OUR NAMED EXECUTIVE OFFICERS.</w:t>
            </w:r>
          </w:p>
          <w:p>
            <w:pPr>
              <w:pStyle w:val="TableContents"/>
              <w:bidi w:val="0"/>
              <w:spacing w:before="0" w:after="0"/>
              <w:jc w:val="left"/>
              <w:rPr/>
            </w:pPr>
            <w:r>
              <w:rPr/>
              <w:t> </w:t>
            </w:r>
          </w:p>
          <w:p>
            <w:pPr>
              <w:pStyle w:val="TableContents"/>
              <w:bidi w:val="0"/>
              <w:spacing w:before="0" w:after="0"/>
              <w:jc w:val="left"/>
              <w:rPr>
                <w:rFonts w:ascii="arial" w:hAnsi="arial"/>
                <w:b/>
                <w:color w:val="1F295C"/>
                <w:sz w:val="24"/>
              </w:rPr>
            </w:pPr>
            <w:r>
              <w:rPr>
                <w:rFonts w:ascii="arial" w:hAnsi="arial"/>
                <w:b/>
                <w:color w:val="1F295C"/>
                <w:sz w:val="24"/>
              </w:rPr>
              <w:t>THE BOARD BELIEVES THAT OUR COMPENSATION PROGRAM SUPPORTS OUR BUSINESS MODEL AND THE OBJECTIVES AND VALUES DESCRIBED IN THE “COMPENSATION DISCUSSION AND ANALYSIS” IN THIS PROXY STATEMENT.</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Proposal 3 – Non-Binding Advisory Vote on Executive Compensation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bookmarkStart w:id="54" w:name="toc849638_56"/>
      <w:bookmarkEnd w:id="54"/>
      <w:r>
        <w:rPr>
          <w:rFonts w:ascii="Times New Roman" w:hAnsi="Times New Roman"/>
          <w:b/>
          <w:color w:val="1070B8"/>
          <w:sz w:val="44"/>
        </w:rPr>
        <w:t xml:space="preserve">EXECUTIVE OFFICERS AND CERTAIN SIGNIFICANT EMPLOYEES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sz w:val="20"/>
        </w:rPr>
        <w:t xml:space="preserve">The following biographical information regarding our executive officers and certain significant employees is as of April 8, 2025: </w:t>
      </w:r>
    </w:p>
    <w:p>
      <w:pPr>
        <w:pStyle w:val="TextBody"/>
        <w:bidi w:val="0"/>
        <w:spacing w:before="240" w:after="0"/>
        <w:jc w:val="left"/>
        <w:rPr>
          <w:rFonts w:ascii="arial" w:hAnsi="arial"/>
          <w:b/>
          <w:color w:val="1F295C"/>
          <w:sz w:val="24"/>
        </w:rPr>
      </w:pPr>
      <w:bookmarkStart w:id="55" w:name="toc849638_57"/>
      <w:bookmarkEnd w:id="55"/>
      <w:r>
        <w:rPr>
          <w:rFonts w:ascii="arial" w:hAnsi="arial"/>
          <w:b/>
          <w:color w:val="1F295C"/>
          <w:sz w:val="24"/>
        </w:rPr>
        <w:t xml:space="preserve">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52"/>
        <w:gridCol w:w="120"/>
        <w:gridCol w:w="8333"/>
      </w:tblGrid>
      <w:tr>
        <w:trPr/>
        <w:tc>
          <w:tcPr>
            <w:tcW w:w="17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33" w:type="dxa"/>
            <w:tcBorders/>
            <w:vAlign w:val="center"/>
          </w:tcPr>
          <w:p>
            <w:pPr>
              <w:pStyle w:val="TableContents"/>
              <w:bidi w:val="0"/>
              <w:spacing w:before="0" w:after="283"/>
              <w:jc w:val="left"/>
              <w:rPr>
                <w:sz w:val="4"/>
                <w:szCs w:val="4"/>
              </w:rPr>
            </w:pPr>
            <w:r>
              <w:rPr>
                <w:sz w:val="4"/>
                <w:szCs w:val="4"/>
              </w:rPr>
            </w:r>
          </w:p>
        </w:tc>
      </w:tr>
      <w:tr>
        <w:trPr/>
        <w:tc>
          <w:tcPr>
            <w:tcW w:w="1752" w:type="dxa"/>
            <w:tcBorders>
              <w:top w:val="single" w:sz="12" w:space="0" w:color="1070B8"/>
            </w:tcBorders>
            <w:shd w:fill="D5DBE3" w:val="clear"/>
            <w:tcMar>
              <w:top w:w="28" w:type="dxa"/>
            </w:tcMar>
            <w:vAlign w:val="center"/>
          </w:tcPr>
          <w:p>
            <w:pPr>
              <w:pStyle w:val="TableContents"/>
              <w:bidi w:val="0"/>
              <w:spacing w:before="0" w:after="283"/>
              <w:jc w:val="left"/>
              <w:rPr/>
            </w:pPr>
            <w:r>
              <w:rPr/>
              <w:t> </w:t>
            </w:r>
          </w:p>
        </w:tc>
        <w:tc>
          <w:tcPr>
            <w:tcW w:w="8453" w:type="dxa"/>
            <w:gridSpan w:val="2"/>
            <w:tcBorders>
              <w:top w:val="single" w:sz="12" w:space="0" w:color="1070B8"/>
            </w:tcBorders>
            <w:shd w:fill="D5DBE3" w:val="clear"/>
            <w:tcMar>
              <w:top w:w="28" w:type="dxa"/>
            </w:tcMar>
            <w:vAlign w:val="center"/>
          </w:tcPr>
          <w:p>
            <w:pPr>
              <w:pStyle w:val="TableContents"/>
              <w:bidi w:val="0"/>
              <w:spacing w:before="0" w:after="283"/>
              <w:jc w:val="left"/>
              <w:rPr/>
            </w:pPr>
            <w:r>
              <w:rPr/>
              <w:t> </w:t>
            </w:r>
          </w:p>
        </w:tc>
      </w:tr>
      <w:tr>
        <w:trPr/>
        <w:tc>
          <w:tcPr>
            <w:tcW w:w="1752" w:type="dxa"/>
            <w:tcBorders>
              <w:bottom w:val="single" w:sz="12" w:space="0" w:color="1070B8"/>
            </w:tcBorders>
            <w:shd w:fill="D5DBE3" w:val="clear"/>
            <w:tcMar>
              <w:bottom w:w="12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070B8"/>
                <w:sz w:val="19"/>
              </w:rPr>
            </w:pPr>
            <w:r>
              <w:rPr>
                <w:rFonts w:ascii="arial" w:hAnsi="arial"/>
                <w:b/>
                <w:color w:val="1070B8"/>
                <w:sz w:val="19"/>
              </w:rPr>
              <w:t>Jeffrey W. Edwards</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Age 61</w:t>
            </w:r>
          </w:p>
          <w:p>
            <w:pPr>
              <w:pStyle w:val="TableContents"/>
              <w:bidi w:val="0"/>
              <w:spacing w:before="0" w:after="20"/>
              <w:jc w:val="left"/>
              <w:rPr>
                <w:rFonts w:ascii="arial" w:hAnsi="arial"/>
                <w:sz w:val="19"/>
              </w:rPr>
            </w:pPr>
            <w:r>
              <w:rPr>
                <w:rFonts w:ascii="arial" w:hAnsi="arial"/>
                <w:sz w:val="19"/>
              </w:rPr>
              <w:t>President, Chief Executive Officer and Chairman</w:t>
            </w:r>
          </w:p>
        </w:tc>
        <w:tc>
          <w:tcPr>
            <w:tcW w:w="120" w:type="dxa"/>
            <w:tcBorders>
              <w:bottom w:val="single" w:sz="12" w:space="0" w:color="1070B8"/>
            </w:tcBorders>
            <w:shd w:fill="D5DBE3" w:val="clear"/>
            <w:tcMar>
              <w:bottom w:w="28" w:type="dxa"/>
            </w:tcMar>
            <w:vAlign w:val="center"/>
          </w:tcPr>
          <w:p>
            <w:pPr>
              <w:pStyle w:val="TableContents"/>
              <w:bidi w:val="0"/>
              <w:spacing w:before="0" w:after="283"/>
              <w:jc w:val="left"/>
              <w:rPr/>
            </w:pPr>
            <w:r>
              <w:rPr/>
              <w:t>  </w:t>
            </w:r>
          </w:p>
        </w:tc>
        <w:tc>
          <w:tcPr>
            <w:tcW w:w="8333" w:type="dxa"/>
            <w:tcBorders>
              <w:bottom w:val="single" w:sz="12" w:space="0" w:color="1070B8"/>
            </w:tcBorders>
            <w:shd w:fill="D5DBE3"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9"/>
              </w:rPr>
            </w:pPr>
            <w:r>
              <w:rPr>
                <w:rFonts w:ascii="arial" w:hAnsi="arial"/>
                <w:sz w:val="19"/>
              </w:rPr>
              <w:t>Mr. Edwards is our President, Chief Executive Officer and Chairman and has held these positions since 2011, 2004 and 1999, respectively. Mr. Edwards’ position allows him to advise the Board on management’s perspective over a full range of issues affecting the Company. Prior to joining us, Mr. Edwards acted as an officer and strategist for several companies that he and his family started, acquired or invested in over more than 40 years across a variety of industries, including multi-family and student housing development and management, industrial tool distribution, wholesale building supply, homebuilding, restaurants and real estate development and real estate brokerage. Since 1988, Mr. Edwards has been involved in the launch of many business ventures as well as commercial real estate developments in central Ohio and elsewhere. He holds a B.S. in Marketing from Miami University.</w:t>
            </w:r>
          </w:p>
        </w:tc>
      </w:tr>
      <w:tr>
        <w:trPr/>
        <w:tc>
          <w:tcPr>
            <w:tcW w:w="1752" w:type="dxa"/>
            <w:tcBorders/>
            <w:vAlign w:val="center"/>
          </w:tcPr>
          <w:p>
            <w:pPr>
              <w:pStyle w:val="TableContents"/>
              <w:bidi w:val="0"/>
              <w:spacing w:before="0" w:after="283"/>
              <w:jc w:val="left"/>
              <w:rPr>
                <w:sz w:val="4"/>
                <w:szCs w:val="4"/>
              </w:rPr>
            </w:pPr>
            <w:r>
              <w:rPr>
                <w:sz w:val="4"/>
                <w:szCs w:val="4"/>
              </w:rPr>
            </w:r>
          </w:p>
        </w:tc>
        <w:tc>
          <w:tcPr>
            <w:tcW w:w="8453" w:type="dxa"/>
            <w:gridSpan w:val="2"/>
            <w:tcBorders/>
            <w:vAlign w:val="center"/>
          </w:tcPr>
          <w:p>
            <w:pPr>
              <w:pStyle w:val="TableContents"/>
              <w:bidi w:val="0"/>
              <w:spacing w:before="0" w:after="283"/>
              <w:jc w:val="left"/>
              <w:rPr>
                <w:sz w:val="4"/>
                <w:szCs w:val="4"/>
              </w:rPr>
            </w:pPr>
            <w:r>
              <w:rPr>
                <w:sz w:val="4"/>
                <w:szCs w:val="4"/>
              </w:rPr>
            </w:r>
          </w:p>
        </w:tc>
      </w:tr>
      <w:tr>
        <w:trPr/>
        <w:tc>
          <w:tcPr>
            <w:tcW w:w="1752" w:type="dxa"/>
            <w:tcBorders>
              <w:bottom w:val="single" w:sz="12" w:space="0" w:color="1070B8"/>
            </w:tcBorders>
            <w:tcMar>
              <w:bottom w:w="120" w:type="dxa"/>
            </w:tcMar>
            <w:vAlign w:val="center"/>
          </w:tcPr>
          <w:p>
            <w:pPr>
              <w:pStyle w:val="TableContents"/>
              <w:bidi w:val="0"/>
              <w:spacing w:before="0" w:after="0"/>
              <w:jc w:val="left"/>
              <w:rPr>
                <w:rFonts w:ascii="arial" w:hAnsi="arial"/>
                <w:b/>
                <w:color w:val="1070B8"/>
                <w:sz w:val="19"/>
              </w:rPr>
            </w:pPr>
            <w:r>
              <w:rPr>
                <w:rFonts w:ascii="arial" w:hAnsi="arial"/>
                <w:b/>
                <w:color w:val="1070B8"/>
                <w:sz w:val="19"/>
              </w:rPr>
              <w:t>Todd R. Fry</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Age 59</w:t>
            </w:r>
          </w:p>
          <w:p>
            <w:pPr>
              <w:pStyle w:val="TableContents"/>
              <w:bidi w:val="0"/>
              <w:spacing w:before="0" w:after="0"/>
              <w:jc w:val="left"/>
              <w:rPr>
                <w:rFonts w:ascii="arial" w:hAnsi="arial"/>
                <w:sz w:val="19"/>
              </w:rPr>
            </w:pPr>
            <w:r>
              <w:rPr>
                <w:rFonts w:ascii="arial" w:hAnsi="arial"/>
                <w:sz w:val="19"/>
              </w:rPr>
              <w:t>Chief Accounting</w:t>
            </w:r>
          </w:p>
          <w:p>
            <w:pPr>
              <w:pStyle w:val="TableContents"/>
              <w:bidi w:val="0"/>
              <w:spacing w:before="0" w:after="20"/>
              <w:jc w:val="left"/>
              <w:rPr>
                <w:rFonts w:ascii="arial" w:hAnsi="arial"/>
                <w:sz w:val="19"/>
              </w:rPr>
            </w:pPr>
            <w:r>
              <w:rPr>
                <w:rFonts w:ascii="arial" w:hAnsi="arial"/>
                <w:sz w:val="19"/>
              </w:rPr>
              <w:t>Officer</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8333" w:type="dxa"/>
            <w:tcBorders>
              <w:bottom w:val="single" w:sz="12" w:space="0" w:color="1070B8"/>
            </w:tcBorders>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9"/>
              </w:rPr>
            </w:pPr>
            <w:r>
              <w:rPr>
                <w:rFonts w:ascii="arial" w:hAnsi="arial"/>
                <w:sz w:val="19"/>
              </w:rPr>
              <w:t>Mr. Fry has been our Chief Accounting Officer since April 2014 and our Treasurer since March 2015. He was Chief Financial Officer of Champion Industries, Inc., a commercial printer, business form manufacturer and supplier of office products and office furniture, from 1999 to April 2014, where his responsibilities included SEC reporting, Sarbanes-Oxley compliance, mergers &amp; acquisitions, corporate governance, risk management and debt negotiation. From 1997 to 1999, Mr. Fry served as Chief Financial Officer of Broughton Foods Company, where he led both the initial public offering and subsequent sale of the company. Mr. Fry served in various positions at Coopers &amp; Lybrand L.L.P. from 1991 to 1997. Mr. Fry holds a B.S. from The Ohio State University. Mr. Fry has served as a director of Summit State Bank since 2000.</w:t>
            </w:r>
          </w:p>
        </w:tc>
      </w:tr>
      <w:tr>
        <w:trPr/>
        <w:tc>
          <w:tcPr>
            <w:tcW w:w="1752" w:type="dxa"/>
            <w:tcBorders/>
            <w:shd w:fill="D5DBE3" w:val="clear"/>
            <w:vAlign w:val="center"/>
          </w:tcPr>
          <w:p>
            <w:pPr>
              <w:pStyle w:val="TableContents"/>
              <w:bidi w:val="0"/>
              <w:spacing w:before="0" w:after="283"/>
              <w:jc w:val="left"/>
              <w:rPr>
                <w:sz w:val="4"/>
                <w:szCs w:val="4"/>
              </w:rPr>
            </w:pPr>
            <w:r>
              <w:rPr>
                <w:sz w:val="4"/>
                <w:szCs w:val="4"/>
              </w:rPr>
            </w:r>
          </w:p>
        </w:tc>
        <w:tc>
          <w:tcPr>
            <w:tcW w:w="8453" w:type="dxa"/>
            <w:gridSpan w:val="2"/>
            <w:tcBorders/>
            <w:shd w:fill="D5DBE3" w:val="clear"/>
            <w:vAlign w:val="center"/>
          </w:tcPr>
          <w:p>
            <w:pPr>
              <w:pStyle w:val="TableContents"/>
              <w:bidi w:val="0"/>
              <w:spacing w:before="0" w:after="283"/>
              <w:jc w:val="left"/>
              <w:rPr>
                <w:sz w:val="4"/>
                <w:szCs w:val="4"/>
              </w:rPr>
            </w:pPr>
            <w:r>
              <w:rPr>
                <w:sz w:val="4"/>
                <w:szCs w:val="4"/>
              </w:rPr>
            </w:r>
          </w:p>
        </w:tc>
      </w:tr>
      <w:tr>
        <w:trPr/>
        <w:tc>
          <w:tcPr>
            <w:tcW w:w="1752" w:type="dxa"/>
            <w:tcBorders>
              <w:bottom w:val="single" w:sz="12" w:space="0" w:color="1070B8"/>
            </w:tcBorders>
            <w:shd w:fill="D5DBE3" w:val="clear"/>
            <w:tcMar>
              <w:bottom w:w="120" w:type="dxa"/>
            </w:tcMar>
            <w:vAlign w:val="center"/>
          </w:tcPr>
          <w:p>
            <w:pPr>
              <w:pStyle w:val="TableContents"/>
              <w:bidi w:val="0"/>
              <w:spacing w:before="0" w:after="0"/>
              <w:jc w:val="left"/>
              <w:rPr>
                <w:rFonts w:ascii="arial" w:hAnsi="arial"/>
                <w:b/>
                <w:color w:val="1070B8"/>
                <w:sz w:val="19"/>
              </w:rPr>
            </w:pPr>
            <w:r>
              <w:rPr>
                <w:rFonts w:ascii="arial" w:hAnsi="arial"/>
                <w:b/>
                <w:color w:val="1070B8"/>
                <w:sz w:val="19"/>
              </w:rPr>
              <w:t>W. Jeffrey Hire</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Age 73</w:t>
            </w:r>
          </w:p>
          <w:p>
            <w:pPr>
              <w:pStyle w:val="TableContents"/>
              <w:bidi w:val="0"/>
              <w:spacing w:before="0" w:after="20"/>
              <w:jc w:val="left"/>
              <w:rPr>
                <w:rFonts w:ascii="arial" w:hAnsi="arial"/>
                <w:sz w:val="19"/>
              </w:rPr>
            </w:pPr>
            <w:r>
              <w:rPr>
                <w:rFonts w:ascii="arial" w:hAnsi="arial"/>
                <w:sz w:val="19"/>
              </w:rPr>
              <w:t xml:space="preserve">President of External </w:t>
              <w:br/>
              <w:t>Affairs</w:t>
            </w:r>
          </w:p>
        </w:tc>
        <w:tc>
          <w:tcPr>
            <w:tcW w:w="120" w:type="dxa"/>
            <w:tcBorders>
              <w:bottom w:val="single" w:sz="12" w:space="0" w:color="1070B8"/>
            </w:tcBorders>
            <w:shd w:fill="D5DBE3" w:val="clear"/>
            <w:tcMar>
              <w:bottom w:w="28" w:type="dxa"/>
            </w:tcMar>
            <w:vAlign w:val="center"/>
          </w:tcPr>
          <w:p>
            <w:pPr>
              <w:pStyle w:val="TableContents"/>
              <w:bidi w:val="0"/>
              <w:spacing w:before="0" w:after="283"/>
              <w:jc w:val="left"/>
              <w:rPr/>
            </w:pPr>
            <w:r>
              <w:rPr/>
              <w:t>  </w:t>
            </w:r>
          </w:p>
        </w:tc>
        <w:tc>
          <w:tcPr>
            <w:tcW w:w="8333" w:type="dxa"/>
            <w:tcBorders>
              <w:bottom w:val="single" w:sz="12" w:space="0" w:color="1070B8"/>
            </w:tcBorders>
            <w:shd w:fill="D5DBE3"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9"/>
              </w:rPr>
            </w:pPr>
            <w:r>
              <w:rPr>
                <w:rFonts w:ascii="arial" w:hAnsi="arial"/>
                <w:sz w:val="19"/>
              </w:rPr>
              <w:t>Mr. Hire joined the Company in 2008 and was named President of External Affairs in 2013. His responsibilities include working with our national homebuilder customers, our major insulation suppliers and industry associations. Prior to joining us, from 1978 to 2008, Mr. Hire held numerous management positions at Owens Corning. From 2006 to 2008, he served as Director of Products and Programs for the Insulating Systems Business, developing product innovations and value-added customer programs. For 11 years prior to that, Mr. Hire was General Manager of the Insulation Contractor Segment of the Residential Insulation Division. He earned a B.S. in Philosophy from University of Mount Union in Alliance, Ohio and an M.B.A. specializing in General Management from The University of St. Thomas Opus College of Business in St. Paul, Minnesota. He serves on the Board of the Insulation Contractors Association of America and has served twice as its President. Mr. Hire has served as a Committee Chairman for the North American Insulation Manufacturers Association. Mr. Hire received the Insulation Contractors Association of America’s “Key Man” award for his leadership and dedication to the industry.</w:t>
            </w:r>
          </w:p>
        </w:tc>
      </w:tr>
      <w:tr>
        <w:trPr/>
        <w:tc>
          <w:tcPr>
            <w:tcW w:w="1752" w:type="dxa"/>
            <w:tcBorders/>
            <w:vAlign w:val="center"/>
          </w:tcPr>
          <w:p>
            <w:pPr>
              <w:pStyle w:val="TableContents"/>
              <w:bidi w:val="0"/>
              <w:spacing w:before="0" w:after="283"/>
              <w:jc w:val="left"/>
              <w:rPr>
                <w:sz w:val="4"/>
                <w:szCs w:val="4"/>
              </w:rPr>
            </w:pPr>
            <w:r>
              <w:rPr>
                <w:sz w:val="4"/>
                <w:szCs w:val="4"/>
              </w:rPr>
            </w:r>
          </w:p>
        </w:tc>
        <w:tc>
          <w:tcPr>
            <w:tcW w:w="8453" w:type="dxa"/>
            <w:gridSpan w:val="2"/>
            <w:tcBorders/>
            <w:vAlign w:val="center"/>
          </w:tcPr>
          <w:p>
            <w:pPr>
              <w:pStyle w:val="TableContents"/>
              <w:bidi w:val="0"/>
              <w:spacing w:before="0" w:after="283"/>
              <w:jc w:val="left"/>
              <w:rPr>
                <w:sz w:val="4"/>
                <w:szCs w:val="4"/>
              </w:rPr>
            </w:pPr>
            <w:r>
              <w:rPr>
                <w:sz w:val="4"/>
                <w:szCs w:val="4"/>
              </w:rPr>
            </w:r>
          </w:p>
        </w:tc>
      </w:tr>
      <w:tr>
        <w:trPr/>
        <w:tc>
          <w:tcPr>
            <w:tcW w:w="1752" w:type="dxa"/>
            <w:tcBorders>
              <w:bottom w:val="single" w:sz="12" w:space="0" w:color="1070B8"/>
            </w:tcBorders>
            <w:tcMar>
              <w:bottom w:w="120" w:type="dxa"/>
            </w:tcMar>
            <w:vAlign w:val="center"/>
          </w:tcPr>
          <w:p>
            <w:pPr>
              <w:pStyle w:val="TableContents"/>
              <w:bidi w:val="0"/>
              <w:spacing w:before="0" w:after="0"/>
              <w:jc w:val="left"/>
              <w:rPr>
                <w:rFonts w:ascii="arial" w:hAnsi="arial"/>
                <w:b/>
                <w:color w:val="1070B8"/>
                <w:sz w:val="19"/>
              </w:rPr>
            </w:pPr>
            <w:r>
              <w:rPr>
                <w:rFonts w:ascii="arial" w:hAnsi="arial"/>
                <w:b/>
                <w:color w:val="1070B8"/>
                <w:sz w:val="19"/>
              </w:rPr>
              <w:t>Michael T. Miller</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Age 60</w:t>
            </w:r>
          </w:p>
          <w:p>
            <w:pPr>
              <w:pStyle w:val="TableContents"/>
              <w:bidi w:val="0"/>
              <w:spacing w:before="0" w:after="20"/>
              <w:jc w:val="left"/>
              <w:rPr>
                <w:rFonts w:ascii="arial" w:hAnsi="arial"/>
                <w:sz w:val="19"/>
              </w:rPr>
            </w:pPr>
            <w:r>
              <w:rPr>
                <w:rFonts w:ascii="arial" w:hAnsi="arial"/>
                <w:sz w:val="19"/>
              </w:rPr>
              <w:t xml:space="preserve">Executive Vice President, Chief Financial Officer and </w:t>
              <w:br/>
              <w:t>Director</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8333" w:type="dxa"/>
            <w:tcBorders>
              <w:bottom w:val="single" w:sz="12" w:space="0" w:color="1070B8"/>
            </w:tcBorders>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9"/>
              </w:rPr>
            </w:pPr>
            <w:r>
              <w:rPr>
                <w:rFonts w:ascii="arial" w:hAnsi="arial"/>
                <w:sz w:val="19"/>
              </w:rPr>
              <w:t>Mr. Miller has served as our most senior financial officer since he joined us in 2000 as our Executive Vice President – Finance. He has been our Chief Financial Officer since 2013 and as a director for us and our predecessor since 2004. Prior to joining the Company, Mr. Miller held the position of Senior Vice President/Managing Director responsible for Corporate Investment Banking at Huntington Capital Corp., a subsidiary of Huntington Bancshares, Inc., a regional bank holding company. Before joining Huntington in 1991, Mr. Miller held various positions with Deutsche Bank and Canadian Imperial Bank of Commerce in New York. Mr. Miller began his career at First Union National Bank in Charlotte, North Carolina. He holds a B.A. from Wake Forest University. Mr. Miller served on the Board of BMC Stock Holdings, Inc. from 2014 to January 2021.</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Executive Officers and Certain Significant Employees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342"/>
        <w:gridCol w:w="120"/>
        <w:gridCol w:w="8743"/>
      </w:tblGrid>
      <w:tr>
        <w:trPr/>
        <w:tc>
          <w:tcPr>
            <w:tcW w:w="13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43" w:type="dxa"/>
            <w:tcBorders/>
            <w:vAlign w:val="center"/>
          </w:tcPr>
          <w:p>
            <w:pPr>
              <w:pStyle w:val="TableContents"/>
              <w:bidi w:val="0"/>
              <w:spacing w:before="0" w:after="283"/>
              <w:jc w:val="left"/>
              <w:rPr>
                <w:sz w:val="4"/>
                <w:szCs w:val="4"/>
              </w:rPr>
            </w:pPr>
            <w:r>
              <w:rPr>
                <w:sz w:val="4"/>
                <w:szCs w:val="4"/>
              </w:rPr>
            </w:r>
          </w:p>
        </w:tc>
      </w:tr>
      <w:tr>
        <w:trPr/>
        <w:tc>
          <w:tcPr>
            <w:tcW w:w="1342" w:type="dxa"/>
            <w:tcBorders>
              <w:top w:val="single" w:sz="12" w:space="0" w:color="1070B8"/>
            </w:tcBorders>
            <w:shd w:fill="D5DBE3" w:val="clear"/>
            <w:tcMar>
              <w:top w:w="28" w:type="dxa"/>
            </w:tcMar>
            <w:vAlign w:val="center"/>
          </w:tcPr>
          <w:p>
            <w:pPr>
              <w:pStyle w:val="TableContents"/>
              <w:bidi w:val="0"/>
              <w:spacing w:before="0" w:after="283"/>
              <w:jc w:val="left"/>
              <w:rPr/>
            </w:pPr>
            <w:r>
              <w:rPr/>
              <w:t> </w:t>
            </w:r>
          </w:p>
        </w:tc>
        <w:tc>
          <w:tcPr>
            <w:tcW w:w="8863" w:type="dxa"/>
            <w:gridSpan w:val="2"/>
            <w:tcBorders>
              <w:top w:val="single" w:sz="12" w:space="0" w:color="1070B8"/>
            </w:tcBorders>
            <w:shd w:fill="D5DBE3" w:val="clear"/>
            <w:tcMar>
              <w:top w:w="28" w:type="dxa"/>
            </w:tcMar>
            <w:vAlign w:val="center"/>
          </w:tcPr>
          <w:p>
            <w:pPr>
              <w:pStyle w:val="TableContents"/>
              <w:bidi w:val="0"/>
              <w:spacing w:before="0" w:after="283"/>
              <w:jc w:val="left"/>
              <w:rPr/>
            </w:pPr>
            <w:r>
              <w:rPr/>
              <w:t> </w:t>
            </w:r>
          </w:p>
        </w:tc>
      </w:tr>
      <w:tr>
        <w:trPr/>
        <w:tc>
          <w:tcPr>
            <w:tcW w:w="1342" w:type="dxa"/>
            <w:tcBorders>
              <w:bottom w:val="single" w:sz="12" w:space="0" w:color="1070B8"/>
            </w:tcBorders>
            <w:shd w:fill="D5DBE3" w:val="clear"/>
            <w:tcMar>
              <w:bottom w:w="12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070B8"/>
                <w:sz w:val="19"/>
              </w:rPr>
            </w:pPr>
            <w:r>
              <w:rPr>
                <w:rFonts w:ascii="arial" w:hAnsi="arial"/>
                <w:b/>
                <w:color w:val="1070B8"/>
                <w:sz w:val="19"/>
              </w:rPr>
              <w:t>Jason R. Niswonger</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Age 52</w:t>
            </w:r>
          </w:p>
          <w:p>
            <w:pPr>
              <w:pStyle w:val="TableContents"/>
              <w:bidi w:val="0"/>
              <w:spacing w:before="0" w:after="0"/>
              <w:jc w:val="left"/>
              <w:rPr>
                <w:rFonts w:ascii="arial" w:hAnsi="arial"/>
                <w:sz w:val="19"/>
              </w:rPr>
            </w:pPr>
            <w:r>
              <w:rPr>
                <w:rFonts w:ascii="arial" w:hAnsi="arial"/>
                <w:sz w:val="19"/>
              </w:rPr>
              <w:t>Chief Administrative</w:t>
            </w:r>
          </w:p>
          <w:p>
            <w:pPr>
              <w:pStyle w:val="TableContents"/>
              <w:bidi w:val="0"/>
              <w:spacing w:before="0" w:after="20"/>
              <w:jc w:val="left"/>
              <w:rPr>
                <w:rFonts w:ascii="arial" w:hAnsi="arial"/>
                <w:sz w:val="19"/>
              </w:rPr>
            </w:pPr>
            <w:r>
              <w:rPr>
                <w:rFonts w:ascii="arial" w:hAnsi="arial"/>
                <w:sz w:val="19"/>
              </w:rPr>
              <w:t>and Sustainability Officer</w:t>
            </w:r>
          </w:p>
        </w:tc>
        <w:tc>
          <w:tcPr>
            <w:tcW w:w="120" w:type="dxa"/>
            <w:tcBorders>
              <w:bottom w:val="single" w:sz="12" w:space="0" w:color="1070B8"/>
            </w:tcBorders>
            <w:shd w:fill="D5DBE3" w:val="clear"/>
            <w:tcMar>
              <w:bottom w:w="28" w:type="dxa"/>
            </w:tcMar>
            <w:vAlign w:val="center"/>
          </w:tcPr>
          <w:p>
            <w:pPr>
              <w:pStyle w:val="TableContents"/>
              <w:bidi w:val="0"/>
              <w:spacing w:before="0" w:after="283"/>
              <w:jc w:val="left"/>
              <w:rPr/>
            </w:pPr>
            <w:r>
              <w:rPr/>
              <w:t>  </w:t>
            </w:r>
          </w:p>
        </w:tc>
        <w:tc>
          <w:tcPr>
            <w:tcW w:w="8743" w:type="dxa"/>
            <w:tcBorders>
              <w:bottom w:val="single" w:sz="12" w:space="0" w:color="1070B8"/>
            </w:tcBorders>
            <w:shd w:fill="D5DBE3"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9"/>
              </w:rPr>
            </w:pPr>
            <w:r>
              <w:rPr>
                <w:rFonts w:ascii="arial" w:hAnsi="arial"/>
                <w:sz w:val="19"/>
              </w:rPr>
              <w:t>Mr. Niswonger has been our Chief Administrative and Sustainability Officer since March 2022. Previously Mr. Niswonger served as our Senior Vice President, Finance and Investor Relations from March 2015 to February 2022 and our Director of Investor Relations from January 2014 until March 2015. Prior to joining the Company, he served from 2011 to 2013 as the Director, Financial Reporting for Edwards Industries, a national property development and management company. From 2006 to 2011, Mr. Niswonger held multiple positions, including the Director, Finance for the Seating Systems Division of Commercial Vehicle Group, Inc., a supplier of integrated system solutions for the global commercial vehicle market. From 2004 to 2006, he was the Director, Financial Reporting for Installed Building Products, LLC. Prior to joining Installed Building Products, LLC, Mr. Niswonger served as the Director of Global Accounting and Financial Reporting at Sterling Commerce, Inc., a global provider of EDI services, B2B integration software solutions and consulting, where he worked from 2000 to 2004. Prior to joining Sterling, he held positions in financial reporting at Express, a division of The Limited, and Exel Logistics. Mr. Niswonger earned an M.B.A. from Otterbein College and a B.A. from Ohio University.</w:t>
            </w:r>
          </w:p>
        </w:tc>
      </w:tr>
      <w:tr>
        <w:trPr/>
        <w:tc>
          <w:tcPr>
            <w:tcW w:w="1342" w:type="dxa"/>
            <w:tcBorders/>
            <w:vAlign w:val="center"/>
          </w:tcPr>
          <w:p>
            <w:pPr>
              <w:pStyle w:val="TableContents"/>
              <w:bidi w:val="0"/>
              <w:spacing w:before="0" w:after="283"/>
              <w:jc w:val="left"/>
              <w:rPr>
                <w:sz w:val="4"/>
                <w:szCs w:val="4"/>
              </w:rPr>
            </w:pPr>
            <w:r>
              <w:rPr>
                <w:sz w:val="4"/>
                <w:szCs w:val="4"/>
              </w:rPr>
            </w:r>
          </w:p>
        </w:tc>
        <w:tc>
          <w:tcPr>
            <w:tcW w:w="8863" w:type="dxa"/>
            <w:gridSpan w:val="2"/>
            <w:tcBorders/>
            <w:vAlign w:val="center"/>
          </w:tcPr>
          <w:p>
            <w:pPr>
              <w:pStyle w:val="TableContents"/>
              <w:bidi w:val="0"/>
              <w:spacing w:before="0" w:after="283"/>
              <w:jc w:val="left"/>
              <w:rPr>
                <w:sz w:val="4"/>
                <w:szCs w:val="4"/>
              </w:rPr>
            </w:pPr>
            <w:r>
              <w:rPr>
                <w:sz w:val="4"/>
                <w:szCs w:val="4"/>
              </w:rPr>
            </w:r>
          </w:p>
        </w:tc>
      </w:tr>
      <w:tr>
        <w:trPr/>
        <w:tc>
          <w:tcPr>
            <w:tcW w:w="1342" w:type="dxa"/>
            <w:tcBorders>
              <w:bottom w:val="single" w:sz="12" w:space="0" w:color="1070B8"/>
            </w:tcBorders>
            <w:tcMar>
              <w:bottom w:w="120" w:type="dxa"/>
            </w:tcMar>
            <w:vAlign w:val="center"/>
          </w:tcPr>
          <w:p>
            <w:pPr>
              <w:pStyle w:val="TableContents"/>
              <w:bidi w:val="0"/>
              <w:spacing w:before="0" w:after="0"/>
              <w:jc w:val="left"/>
              <w:rPr>
                <w:rFonts w:ascii="arial" w:hAnsi="arial"/>
                <w:b/>
                <w:color w:val="1070B8"/>
                <w:sz w:val="19"/>
              </w:rPr>
            </w:pPr>
            <w:r>
              <w:rPr>
                <w:rFonts w:ascii="arial" w:hAnsi="arial"/>
                <w:b/>
                <w:color w:val="1070B8"/>
                <w:sz w:val="19"/>
              </w:rPr>
              <w:t>Brad A. Wheeler</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Age 50</w:t>
            </w:r>
          </w:p>
          <w:p>
            <w:pPr>
              <w:pStyle w:val="TableContents"/>
              <w:bidi w:val="0"/>
              <w:spacing w:before="0" w:after="20"/>
              <w:jc w:val="left"/>
              <w:rPr>
                <w:rFonts w:ascii="arial" w:hAnsi="arial"/>
                <w:sz w:val="19"/>
              </w:rPr>
            </w:pPr>
            <w:r>
              <w:rPr>
                <w:rFonts w:ascii="arial" w:hAnsi="arial"/>
                <w:sz w:val="19"/>
              </w:rPr>
              <w:t>Chief Operating Officer</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8743" w:type="dxa"/>
            <w:tcBorders>
              <w:bottom w:val="single" w:sz="12" w:space="0" w:color="1070B8"/>
            </w:tcBorders>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9"/>
              </w:rPr>
            </w:pPr>
            <w:r>
              <w:rPr>
                <w:rFonts w:ascii="arial" w:hAnsi="arial"/>
                <w:sz w:val="19"/>
              </w:rPr>
              <w:t>Mr. Wheeler was named our Chief Operating Officer effective January 1, 2024. Prior to becoming Chief Operating Officer, Mr. Wheeler served as a Regional President from January 2015 through December 2024. He joined the Company in 2010 as a Regional Manager and has been responsible for the management of our operations in several states, including Colorado, Texas, Florida and Georgia. In June 2022, Mr. Wheeler assumed additional responsibility for Alpha’s heavy commercial business and was named President of the Alpha family of companies. He attended Radford University and has been an active member of Vistage International CEO Organization since 2011.</w:t>
            </w:r>
          </w:p>
        </w:tc>
      </w:tr>
    </w:tbl>
    <w:p>
      <w:pPr>
        <w:pStyle w:val="TextBody"/>
        <w:bidi w:val="0"/>
        <w:spacing w:before="240" w:after="0"/>
        <w:jc w:val="left"/>
        <w:rPr>
          <w:rFonts w:ascii="arial" w:hAnsi="arial"/>
          <w:b/>
          <w:color w:val="1F295C"/>
          <w:sz w:val="24"/>
        </w:rPr>
      </w:pPr>
      <w:bookmarkStart w:id="56" w:name="toc849638_58"/>
      <w:bookmarkEnd w:id="56"/>
      <w:r>
        <w:rPr>
          <w:rFonts w:ascii="arial" w:hAnsi="arial"/>
          <w:b/>
          <w:color w:val="1F295C"/>
          <w:sz w:val="24"/>
        </w:rPr>
        <w:t xml:space="preserve">Certain Key Employees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07"/>
        <w:gridCol w:w="120"/>
        <w:gridCol w:w="8678"/>
      </w:tblGrid>
      <w:tr>
        <w:trPr/>
        <w:tc>
          <w:tcPr>
            <w:tcW w:w="14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78" w:type="dxa"/>
            <w:tcBorders/>
            <w:vAlign w:val="center"/>
          </w:tcPr>
          <w:p>
            <w:pPr>
              <w:pStyle w:val="TableContents"/>
              <w:bidi w:val="0"/>
              <w:spacing w:before="0" w:after="283"/>
              <w:jc w:val="left"/>
              <w:rPr>
                <w:sz w:val="4"/>
                <w:szCs w:val="4"/>
              </w:rPr>
            </w:pPr>
            <w:r>
              <w:rPr>
                <w:sz w:val="4"/>
                <w:szCs w:val="4"/>
              </w:rPr>
            </w:r>
          </w:p>
        </w:tc>
      </w:tr>
      <w:tr>
        <w:trPr/>
        <w:tc>
          <w:tcPr>
            <w:tcW w:w="1407" w:type="dxa"/>
            <w:tcBorders>
              <w:top w:val="single" w:sz="12" w:space="0" w:color="1070B8"/>
            </w:tcBorders>
            <w:shd w:fill="D5DBE3" w:val="clear"/>
            <w:tcMar>
              <w:top w:w="28" w:type="dxa"/>
            </w:tcMar>
            <w:vAlign w:val="center"/>
          </w:tcPr>
          <w:p>
            <w:pPr>
              <w:pStyle w:val="TableContents"/>
              <w:bidi w:val="0"/>
              <w:spacing w:before="0" w:after="283"/>
              <w:jc w:val="left"/>
              <w:rPr/>
            </w:pPr>
            <w:r>
              <w:rPr/>
              <w:t> </w:t>
            </w:r>
          </w:p>
        </w:tc>
        <w:tc>
          <w:tcPr>
            <w:tcW w:w="8798" w:type="dxa"/>
            <w:gridSpan w:val="2"/>
            <w:tcBorders>
              <w:top w:val="single" w:sz="12" w:space="0" w:color="1070B8"/>
            </w:tcBorders>
            <w:shd w:fill="D5DBE3" w:val="clear"/>
            <w:tcMar>
              <w:top w:w="28" w:type="dxa"/>
            </w:tcMar>
            <w:vAlign w:val="center"/>
          </w:tcPr>
          <w:p>
            <w:pPr>
              <w:pStyle w:val="TableContents"/>
              <w:bidi w:val="0"/>
              <w:spacing w:before="0" w:after="283"/>
              <w:jc w:val="left"/>
              <w:rPr/>
            </w:pPr>
            <w:r>
              <w:rPr/>
              <w:t> </w:t>
            </w:r>
          </w:p>
        </w:tc>
      </w:tr>
      <w:tr>
        <w:trPr/>
        <w:tc>
          <w:tcPr>
            <w:tcW w:w="1407" w:type="dxa"/>
            <w:tcBorders>
              <w:bottom w:val="single" w:sz="12" w:space="0" w:color="1070B8"/>
            </w:tcBorders>
            <w:shd w:fill="D5DBE3" w:val="clear"/>
            <w:tcMar>
              <w:bottom w:w="12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070B8"/>
                <w:sz w:val="19"/>
              </w:rPr>
            </w:pPr>
            <w:r>
              <w:rPr>
                <w:rFonts w:ascii="arial" w:hAnsi="arial"/>
                <w:b/>
                <w:color w:val="1070B8"/>
                <w:sz w:val="19"/>
              </w:rPr>
              <w:t>Randall A. Hall</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Age 63</w:t>
            </w:r>
          </w:p>
          <w:p>
            <w:pPr>
              <w:pStyle w:val="TableContents"/>
              <w:bidi w:val="0"/>
              <w:spacing w:before="0" w:after="20"/>
              <w:jc w:val="left"/>
              <w:rPr>
                <w:rFonts w:ascii="arial" w:hAnsi="arial"/>
                <w:sz w:val="19"/>
              </w:rPr>
            </w:pPr>
            <w:r>
              <w:rPr>
                <w:rFonts w:ascii="arial" w:hAnsi="arial"/>
                <w:sz w:val="19"/>
              </w:rPr>
              <w:t xml:space="preserve">President, Aster </w:t>
              <w:br/>
              <w:t>Contractors Holdings, LLC</w:t>
            </w:r>
          </w:p>
        </w:tc>
        <w:tc>
          <w:tcPr>
            <w:tcW w:w="120" w:type="dxa"/>
            <w:tcBorders>
              <w:bottom w:val="single" w:sz="12" w:space="0" w:color="1070B8"/>
            </w:tcBorders>
            <w:shd w:fill="D5DBE3" w:val="clear"/>
            <w:tcMar>
              <w:bottom w:w="28" w:type="dxa"/>
            </w:tcMar>
            <w:vAlign w:val="center"/>
          </w:tcPr>
          <w:p>
            <w:pPr>
              <w:pStyle w:val="TableContents"/>
              <w:bidi w:val="0"/>
              <w:spacing w:before="0" w:after="283"/>
              <w:jc w:val="left"/>
              <w:rPr/>
            </w:pPr>
            <w:r>
              <w:rPr/>
              <w:t>  </w:t>
            </w:r>
          </w:p>
        </w:tc>
        <w:tc>
          <w:tcPr>
            <w:tcW w:w="8678" w:type="dxa"/>
            <w:tcBorders>
              <w:bottom w:val="single" w:sz="12" w:space="0" w:color="1070B8"/>
            </w:tcBorders>
            <w:shd w:fill="D5DBE3"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9"/>
              </w:rPr>
            </w:pPr>
            <w:r>
              <w:rPr>
                <w:rFonts w:ascii="arial" w:hAnsi="arial"/>
                <w:sz w:val="19"/>
              </w:rPr>
              <w:t>Mr. Hall has been President of Aster Contractors Holdings, LLC, one of our subsidiaries, since October 2020. Mr. Hall joined the Company in 1995 and has held a number of positions, including regional manager (January 2017-October 2020), regional operations performance manager (2016-2017), manager of our Cornerstone Energy Conservation Service operations and manager of our Edwards/Mooney &amp; Moses branch operations. Prior to joining the Company, Mr. Hall served as the Vice President of Operations and Vice President of Finance at Pipeliner Systems, Inc., and as an accountant at Bolon, Hart &amp; Buehler, Inc. He received a B.S. in Accounting from Franklin University in Columbus, Ohio.</w:t>
            </w:r>
          </w:p>
        </w:tc>
      </w:tr>
      <w:tr>
        <w:trPr/>
        <w:tc>
          <w:tcPr>
            <w:tcW w:w="1407" w:type="dxa"/>
            <w:tcBorders/>
            <w:vAlign w:val="center"/>
          </w:tcPr>
          <w:p>
            <w:pPr>
              <w:pStyle w:val="TableContents"/>
              <w:bidi w:val="0"/>
              <w:spacing w:before="0" w:after="283"/>
              <w:jc w:val="left"/>
              <w:rPr>
                <w:sz w:val="4"/>
                <w:szCs w:val="4"/>
              </w:rPr>
            </w:pPr>
            <w:r>
              <w:rPr>
                <w:sz w:val="4"/>
                <w:szCs w:val="4"/>
              </w:rPr>
            </w:r>
          </w:p>
        </w:tc>
        <w:tc>
          <w:tcPr>
            <w:tcW w:w="8798" w:type="dxa"/>
            <w:gridSpan w:val="2"/>
            <w:tcBorders/>
            <w:vAlign w:val="center"/>
          </w:tcPr>
          <w:p>
            <w:pPr>
              <w:pStyle w:val="TableContents"/>
              <w:bidi w:val="0"/>
              <w:spacing w:before="0" w:after="283"/>
              <w:jc w:val="left"/>
              <w:rPr>
                <w:sz w:val="4"/>
                <w:szCs w:val="4"/>
              </w:rPr>
            </w:pPr>
            <w:r>
              <w:rPr>
                <w:sz w:val="4"/>
                <w:szCs w:val="4"/>
              </w:rPr>
            </w:r>
          </w:p>
        </w:tc>
      </w:tr>
      <w:tr>
        <w:trPr/>
        <w:tc>
          <w:tcPr>
            <w:tcW w:w="1407" w:type="dxa"/>
            <w:tcBorders>
              <w:bottom w:val="single" w:sz="12" w:space="0" w:color="1070B8"/>
            </w:tcBorders>
            <w:tcMar>
              <w:bottom w:w="120" w:type="dxa"/>
            </w:tcMar>
            <w:vAlign w:val="center"/>
          </w:tcPr>
          <w:p>
            <w:pPr>
              <w:pStyle w:val="TableContents"/>
              <w:bidi w:val="0"/>
              <w:spacing w:before="0" w:after="0"/>
              <w:jc w:val="left"/>
              <w:rPr>
                <w:rFonts w:ascii="arial" w:hAnsi="arial"/>
                <w:b/>
                <w:color w:val="1070B8"/>
                <w:sz w:val="19"/>
              </w:rPr>
            </w:pPr>
            <w:r>
              <w:rPr>
                <w:rFonts w:ascii="arial" w:hAnsi="arial"/>
                <w:b/>
                <w:color w:val="1070B8"/>
                <w:sz w:val="19"/>
              </w:rPr>
              <w:t>R. Scott Jenkins</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Age 69</w:t>
            </w:r>
          </w:p>
          <w:p>
            <w:pPr>
              <w:pStyle w:val="TableContents"/>
              <w:bidi w:val="0"/>
              <w:spacing w:before="0" w:after="20"/>
              <w:jc w:val="left"/>
              <w:rPr>
                <w:rFonts w:ascii="arial" w:hAnsi="arial"/>
                <w:sz w:val="19"/>
              </w:rPr>
            </w:pPr>
            <w:r>
              <w:rPr>
                <w:rFonts w:ascii="arial" w:hAnsi="arial"/>
                <w:sz w:val="19"/>
              </w:rPr>
              <w:t>Regional President</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8678" w:type="dxa"/>
            <w:tcBorders>
              <w:bottom w:val="single" w:sz="12" w:space="0" w:color="1070B8"/>
            </w:tcBorders>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9"/>
              </w:rPr>
            </w:pPr>
            <w:r>
              <w:rPr>
                <w:rFonts w:ascii="arial" w:hAnsi="arial"/>
                <w:sz w:val="19"/>
              </w:rPr>
              <w:t>Mr. Jenkins has been a Regional President since 2006 when we acquired OJ Insulation, Inc., which he co-founded in 1984. Since joining us, Mr. Jenkins has been responsible for the management of operations in several states, including Minnesota, Idaho, Washington and California. During his 22-year tenure at OJ Insulation as owner and chief executive officer, Mr. Jenkins was responsible for numerous strategic acquisitions and significant company growth. He received a B.A. in Social Science from the University of California at Irvine and was an active member of Vistage International CEO Organization for over 15 years.</w:t>
            </w:r>
          </w:p>
        </w:tc>
      </w:tr>
      <w:tr>
        <w:trPr/>
        <w:tc>
          <w:tcPr>
            <w:tcW w:w="1407" w:type="dxa"/>
            <w:tcBorders/>
            <w:shd w:fill="D5DBE3" w:val="clear"/>
            <w:vAlign w:val="center"/>
          </w:tcPr>
          <w:p>
            <w:pPr>
              <w:pStyle w:val="TableContents"/>
              <w:bidi w:val="0"/>
              <w:spacing w:before="0" w:after="283"/>
              <w:jc w:val="left"/>
              <w:rPr>
                <w:sz w:val="4"/>
                <w:szCs w:val="4"/>
              </w:rPr>
            </w:pPr>
            <w:r>
              <w:rPr>
                <w:sz w:val="4"/>
                <w:szCs w:val="4"/>
              </w:rPr>
            </w:r>
          </w:p>
        </w:tc>
        <w:tc>
          <w:tcPr>
            <w:tcW w:w="8798" w:type="dxa"/>
            <w:gridSpan w:val="2"/>
            <w:tcBorders/>
            <w:shd w:fill="D5DBE3" w:val="clear"/>
            <w:vAlign w:val="center"/>
          </w:tcPr>
          <w:p>
            <w:pPr>
              <w:pStyle w:val="TableContents"/>
              <w:bidi w:val="0"/>
              <w:spacing w:before="0" w:after="283"/>
              <w:jc w:val="left"/>
              <w:rPr>
                <w:sz w:val="4"/>
                <w:szCs w:val="4"/>
              </w:rPr>
            </w:pPr>
            <w:r>
              <w:rPr>
                <w:sz w:val="4"/>
                <w:szCs w:val="4"/>
              </w:rPr>
            </w:r>
          </w:p>
        </w:tc>
      </w:tr>
      <w:tr>
        <w:trPr/>
        <w:tc>
          <w:tcPr>
            <w:tcW w:w="1407" w:type="dxa"/>
            <w:tcBorders>
              <w:bottom w:val="single" w:sz="12" w:space="0" w:color="1070B8"/>
            </w:tcBorders>
            <w:shd w:fill="D5DBE3" w:val="clear"/>
            <w:tcMar>
              <w:bottom w:w="120" w:type="dxa"/>
            </w:tcMar>
            <w:vAlign w:val="center"/>
          </w:tcPr>
          <w:p>
            <w:pPr>
              <w:pStyle w:val="TableContents"/>
              <w:bidi w:val="0"/>
              <w:spacing w:before="0" w:after="0"/>
              <w:jc w:val="left"/>
              <w:rPr>
                <w:rFonts w:ascii="arial" w:hAnsi="arial"/>
                <w:b/>
                <w:color w:val="1070B8"/>
                <w:sz w:val="19"/>
              </w:rPr>
            </w:pPr>
            <w:r>
              <w:rPr>
                <w:rFonts w:ascii="arial" w:hAnsi="arial"/>
                <w:b/>
                <w:color w:val="1070B8"/>
                <w:sz w:val="19"/>
              </w:rPr>
              <w:t>William W. Jenkins</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Age 68</w:t>
            </w:r>
          </w:p>
          <w:p>
            <w:pPr>
              <w:pStyle w:val="TableContents"/>
              <w:bidi w:val="0"/>
              <w:spacing w:before="0" w:after="20"/>
              <w:jc w:val="left"/>
              <w:rPr>
                <w:rFonts w:ascii="arial" w:hAnsi="arial"/>
                <w:sz w:val="19"/>
              </w:rPr>
            </w:pPr>
            <w:r>
              <w:rPr>
                <w:rFonts w:ascii="arial" w:hAnsi="arial"/>
                <w:sz w:val="19"/>
              </w:rPr>
              <w:t>Division President, Purchasing and Distribution</w:t>
            </w:r>
          </w:p>
        </w:tc>
        <w:tc>
          <w:tcPr>
            <w:tcW w:w="120" w:type="dxa"/>
            <w:tcBorders>
              <w:bottom w:val="single" w:sz="12" w:space="0" w:color="1070B8"/>
            </w:tcBorders>
            <w:shd w:fill="D5DBE3" w:val="clear"/>
            <w:tcMar>
              <w:bottom w:w="28" w:type="dxa"/>
            </w:tcMar>
            <w:vAlign w:val="center"/>
          </w:tcPr>
          <w:p>
            <w:pPr>
              <w:pStyle w:val="TableContents"/>
              <w:bidi w:val="0"/>
              <w:spacing w:before="0" w:after="283"/>
              <w:jc w:val="left"/>
              <w:rPr/>
            </w:pPr>
            <w:r>
              <w:rPr/>
              <w:t>  </w:t>
            </w:r>
          </w:p>
        </w:tc>
        <w:tc>
          <w:tcPr>
            <w:tcW w:w="8678" w:type="dxa"/>
            <w:tcBorders>
              <w:bottom w:val="single" w:sz="12" w:space="0" w:color="1070B8"/>
            </w:tcBorders>
            <w:shd w:fill="D5DBE3"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9"/>
              </w:rPr>
            </w:pPr>
            <w:r>
              <w:rPr>
                <w:rFonts w:ascii="arial" w:hAnsi="arial"/>
                <w:sz w:val="19"/>
              </w:rPr>
              <w:t>Mr. Jenkins has been our Division President, Purchasing and Distribution, since October 2024. He served as our Senior Vice President, Purchasing and Supply Chain from March 2015 until October 2024, and our Director of Internal Audit from September 2013 until March 2015. He held other senior management positions from 1998 to 2013. Mr. Jenkins began his career with Ernst &amp; Young LLP, where he progressed to become a Senior Manager. He graduated from The Ohio State University with a B.S. and was licensed as a CPA in the State of Ohio.</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Executive Officers and Certain Significant Employees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768"/>
        <w:gridCol w:w="120"/>
        <w:gridCol w:w="8317"/>
      </w:tblGrid>
      <w:tr>
        <w:trPr/>
        <w:tc>
          <w:tcPr>
            <w:tcW w:w="17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17" w:type="dxa"/>
            <w:tcBorders/>
            <w:vAlign w:val="center"/>
          </w:tcPr>
          <w:p>
            <w:pPr>
              <w:pStyle w:val="TableContents"/>
              <w:bidi w:val="0"/>
              <w:spacing w:before="0" w:after="283"/>
              <w:jc w:val="left"/>
              <w:rPr>
                <w:sz w:val="4"/>
                <w:szCs w:val="4"/>
              </w:rPr>
            </w:pPr>
            <w:r>
              <w:rPr>
                <w:sz w:val="4"/>
                <w:szCs w:val="4"/>
              </w:rPr>
            </w:r>
          </w:p>
        </w:tc>
      </w:tr>
      <w:tr>
        <w:trPr/>
        <w:tc>
          <w:tcPr>
            <w:tcW w:w="1768" w:type="dxa"/>
            <w:tcBorders>
              <w:top w:val="single" w:sz="12" w:space="0" w:color="1070B8"/>
            </w:tcBorders>
            <w:tcMar>
              <w:top w:w="28" w:type="dxa"/>
            </w:tcMar>
            <w:vAlign w:val="center"/>
          </w:tcPr>
          <w:p>
            <w:pPr>
              <w:pStyle w:val="TableContents"/>
              <w:bidi w:val="0"/>
              <w:spacing w:before="0" w:after="283"/>
              <w:jc w:val="left"/>
              <w:rPr/>
            </w:pPr>
            <w:r>
              <w:rPr/>
              <w:t> </w:t>
            </w:r>
          </w:p>
        </w:tc>
        <w:tc>
          <w:tcPr>
            <w:tcW w:w="8437" w:type="dxa"/>
            <w:gridSpan w:val="2"/>
            <w:tcBorders>
              <w:top w:val="single" w:sz="12" w:space="0" w:color="1070B8"/>
            </w:tcBorders>
            <w:tcMar>
              <w:top w:w="28" w:type="dxa"/>
            </w:tcMar>
            <w:vAlign w:val="center"/>
          </w:tcPr>
          <w:p>
            <w:pPr>
              <w:pStyle w:val="TableContents"/>
              <w:bidi w:val="0"/>
              <w:spacing w:before="0" w:after="283"/>
              <w:jc w:val="left"/>
              <w:rPr/>
            </w:pPr>
            <w:r>
              <w:rPr/>
              <w:t> </w:t>
            </w:r>
          </w:p>
        </w:tc>
      </w:tr>
      <w:tr>
        <w:trPr/>
        <w:tc>
          <w:tcPr>
            <w:tcW w:w="1768"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070B8"/>
                <w:sz w:val="19"/>
              </w:rPr>
            </w:pPr>
            <w:r>
              <w:rPr>
                <w:rFonts w:ascii="arial" w:hAnsi="arial"/>
                <w:b/>
                <w:color w:val="1070B8"/>
                <w:sz w:val="19"/>
              </w:rPr>
              <w:t>Martin J. Luffy</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Age 65</w:t>
            </w:r>
          </w:p>
          <w:p>
            <w:pPr>
              <w:pStyle w:val="TableContents"/>
              <w:bidi w:val="0"/>
              <w:spacing w:before="0" w:after="20"/>
              <w:jc w:val="left"/>
              <w:rPr>
                <w:rFonts w:ascii="arial" w:hAnsi="arial"/>
                <w:sz w:val="19"/>
              </w:rPr>
            </w:pPr>
            <w:r>
              <w:rPr>
                <w:rFonts w:ascii="arial" w:hAnsi="arial"/>
                <w:sz w:val="19"/>
              </w:rPr>
              <w:t>Chief Information Officer</w:t>
            </w:r>
          </w:p>
        </w:tc>
        <w:tc>
          <w:tcPr>
            <w:tcW w:w="120"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9"/>
              </w:rPr>
            </w:pPr>
            <w:r>
              <w:rPr>
                <w:rFonts w:ascii="arial" w:hAnsi="arial"/>
                <w:sz w:val="19"/>
              </w:rPr>
              <w:t>Mr. Luffy has been our Chief Information Officer since joining the company in 2002. Prior to joining Installed Building Products, he served in a number of roles for an international data center hosting provider, including Regional Director and Vice President of Data Center Operations and Services. Mr. Luffy began his career with Arthur Andersen and Peat Marwick and has held successive senior management positions with a number of technology and professional services entities. He received a B.S. degree from Purdue University and a M.B.A. from the University of Dayton. Mr. Luffy has served on multiple nonprofit boards including his current role on the board of a foundation that provides financial aid assistance for cancer patients.</w:t>
            </w:r>
          </w:p>
        </w:tc>
      </w:tr>
      <w:tr>
        <w:trPr/>
        <w:tc>
          <w:tcPr>
            <w:tcW w:w="1768" w:type="dxa"/>
            <w:tcBorders>
              <w:top w:val="single" w:sz="12" w:space="0" w:color="1070B8"/>
            </w:tcBorders>
            <w:shd w:fill="D5DBE3" w:val="clear"/>
            <w:tcMar>
              <w:top w:w="28" w:type="dxa"/>
            </w:tcMar>
            <w:vAlign w:val="center"/>
          </w:tcPr>
          <w:p>
            <w:pPr>
              <w:pStyle w:val="TableContents"/>
              <w:bidi w:val="0"/>
              <w:spacing w:before="0" w:after="283"/>
              <w:jc w:val="left"/>
              <w:rPr/>
            </w:pPr>
            <w:r>
              <w:rPr/>
              <w:t> </w:t>
            </w:r>
          </w:p>
        </w:tc>
        <w:tc>
          <w:tcPr>
            <w:tcW w:w="8437" w:type="dxa"/>
            <w:gridSpan w:val="2"/>
            <w:tcBorders>
              <w:top w:val="single" w:sz="12" w:space="0" w:color="1070B8"/>
            </w:tcBorders>
            <w:shd w:fill="D5DBE3" w:val="clear"/>
            <w:tcMar>
              <w:top w:w="28" w:type="dxa"/>
            </w:tcMar>
            <w:vAlign w:val="center"/>
          </w:tcPr>
          <w:p>
            <w:pPr>
              <w:pStyle w:val="TableContents"/>
              <w:bidi w:val="0"/>
              <w:spacing w:before="0" w:after="283"/>
              <w:jc w:val="left"/>
              <w:rPr/>
            </w:pPr>
            <w:r>
              <w:rPr/>
              <w:t> </w:t>
            </w:r>
          </w:p>
        </w:tc>
      </w:tr>
      <w:tr>
        <w:trPr/>
        <w:tc>
          <w:tcPr>
            <w:tcW w:w="1768" w:type="dxa"/>
            <w:tcBorders>
              <w:bottom w:val="single" w:sz="12" w:space="0" w:color="1070B8"/>
            </w:tcBorders>
            <w:shd w:fill="D5DBE3" w:val="clear"/>
            <w:tcMar>
              <w:bottom w:w="12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070B8"/>
                <w:sz w:val="19"/>
              </w:rPr>
            </w:pPr>
            <w:r>
              <w:rPr>
                <w:rFonts w:ascii="arial" w:hAnsi="arial"/>
                <w:b/>
                <w:color w:val="1070B8"/>
                <w:sz w:val="19"/>
              </w:rPr>
              <w:t>Shelley A. McBride</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Age 68</w:t>
            </w:r>
          </w:p>
          <w:p>
            <w:pPr>
              <w:pStyle w:val="TableContents"/>
              <w:bidi w:val="0"/>
              <w:spacing w:before="0" w:after="20"/>
              <w:jc w:val="left"/>
              <w:rPr>
                <w:rFonts w:ascii="arial" w:hAnsi="arial"/>
                <w:sz w:val="19"/>
              </w:rPr>
            </w:pPr>
            <w:r>
              <w:rPr>
                <w:rFonts w:ascii="arial" w:hAnsi="arial"/>
                <w:sz w:val="19"/>
              </w:rPr>
              <w:t>General Counsel and Secretary</w:t>
            </w:r>
          </w:p>
        </w:tc>
        <w:tc>
          <w:tcPr>
            <w:tcW w:w="120" w:type="dxa"/>
            <w:tcBorders>
              <w:bottom w:val="single" w:sz="12" w:space="0" w:color="1070B8"/>
            </w:tcBorders>
            <w:shd w:fill="D5DBE3" w:val="clear"/>
            <w:tcMar>
              <w:bottom w:w="28" w:type="dxa"/>
            </w:tcMar>
            <w:vAlign w:val="center"/>
          </w:tcPr>
          <w:p>
            <w:pPr>
              <w:pStyle w:val="TableContents"/>
              <w:bidi w:val="0"/>
              <w:spacing w:before="0" w:after="283"/>
              <w:jc w:val="left"/>
              <w:rPr/>
            </w:pPr>
            <w:r>
              <w:rPr/>
              <w:t>  </w:t>
            </w:r>
          </w:p>
        </w:tc>
        <w:tc>
          <w:tcPr>
            <w:tcW w:w="8317" w:type="dxa"/>
            <w:tcBorders>
              <w:bottom w:val="single" w:sz="12" w:space="0" w:color="1070B8"/>
            </w:tcBorders>
            <w:shd w:fill="D5DBE3"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9"/>
              </w:rPr>
            </w:pPr>
            <w:r>
              <w:rPr>
                <w:rFonts w:ascii="arial" w:hAnsi="arial"/>
                <w:sz w:val="19"/>
              </w:rPr>
              <w:t>Ms. McBride joined the Company in 2005 as General Counsel and Secretary. Prior to joining the Company, she worked as an attorney at the law firm of Calfee, Halter &amp; Griswold, representing corporate and institutional clients in the areas of mergers and acquisitions, secured credit transactions, subordinated debt financings, common and preferred equity investments, organizational restructuring and general corporate matters. Before joining Calfee, Halter &amp; Griswold in 2001, Ms. McBride served as legal counsel for Nationwide Mutual Insurance Company in the Nationwide Enterprise Office of Investments and also served as legal counsel for various investment funds at Banc One Capital. Her experience includes representing corporate and institutional clients at the law firms of Squire Patton Boggs and Kegler, Brown, Hill &amp; Ritter. From 1983 to 1989, Ms. McBride served as a law clerk to the Honorable John D. Holschuh and the Honorable Mark R. Abel in the United States District Court for the Southern District of Ohio. Ms. McBride earned a J.D. and a B.A. from The Ohio State University.</w:t>
            </w:r>
          </w:p>
        </w:tc>
      </w:tr>
      <w:tr>
        <w:trPr/>
        <w:tc>
          <w:tcPr>
            <w:tcW w:w="1768" w:type="dxa"/>
            <w:tcBorders/>
            <w:vAlign w:val="center"/>
          </w:tcPr>
          <w:p>
            <w:pPr>
              <w:pStyle w:val="TableContents"/>
              <w:bidi w:val="0"/>
              <w:spacing w:before="0" w:after="283"/>
              <w:jc w:val="left"/>
              <w:rPr>
                <w:sz w:val="4"/>
                <w:szCs w:val="4"/>
              </w:rPr>
            </w:pPr>
            <w:r>
              <w:rPr>
                <w:sz w:val="4"/>
                <w:szCs w:val="4"/>
              </w:rPr>
            </w:r>
          </w:p>
        </w:tc>
        <w:tc>
          <w:tcPr>
            <w:tcW w:w="8437" w:type="dxa"/>
            <w:gridSpan w:val="2"/>
            <w:tcBorders/>
            <w:vAlign w:val="center"/>
          </w:tcPr>
          <w:p>
            <w:pPr>
              <w:pStyle w:val="TableContents"/>
              <w:bidi w:val="0"/>
              <w:spacing w:before="0" w:after="283"/>
              <w:jc w:val="left"/>
              <w:rPr>
                <w:sz w:val="4"/>
                <w:szCs w:val="4"/>
              </w:rPr>
            </w:pPr>
            <w:r>
              <w:rPr>
                <w:sz w:val="4"/>
                <w:szCs w:val="4"/>
              </w:rPr>
            </w:r>
          </w:p>
        </w:tc>
      </w:tr>
      <w:tr>
        <w:trPr/>
        <w:tc>
          <w:tcPr>
            <w:tcW w:w="1768" w:type="dxa"/>
            <w:tcBorders>
              <w:bottom w:val="single" w:sz="12" w:space="0" w:color="1070B8"/>
            </w:tcBorders>
            <w:tcMar>
              <w:bottom w:w="120" w:type="dxa"/>
            </w:tcMar>
            <w:vAlign w:val="center"/>
          </w:tcPr>
          <w:p>
            <w:pPr>
              <w:pStyle w:val="TableContents"/>
              <w:bidi w:val="0"/>
              <w:spacing w:before="0" w:after="0"/>
              <w:jc w:val="left"/>
              <w:rPr>
                <w:rFonts w:ascii="arial" w:hAnsi="arial"/>
                <w:b/>
                <w:color w:val="1070B8"/>
                <w:sz w:val="19"/>
              </w:rPr>
            </w:pPr>
            <w:r>
              <w:rPr>
                <w:rFonts w:ascii="arial" w:hAnsi="arial"/>
                <w:b/>
                <w:color w:val="1070B8"/>
                <w:sz w:val="19"/>
              </w:rPr>
              <w:t>Warren W. Pearce</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Age 66</w:t>
            </w:r>
          </w:p>
          <w:p>
            <w:pPr>
              <w:pStyle w:val="TableContents"/>
              <w:bidi w:val="0"/>
              <w:spacing w:before="0" w:after="20"/>
              <w:jc w:val="left"/>
              <w:rPr>
                <w:rFonts w:ascii="arial" w:hAnsi="arial"/>
                <w:sz w:val="19"/>
              </w:rPr>
            </w:pPr>
            <w:r>
              <w:rPr>
                <w:rFonts w:ascii="arial" w:hAnsi="arial"/>
                <w:sz w:val="19"/>
              </w:rPr>
              <w:t>Regional President</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8317" w:type="dxa"/>
            <w:tcBorders>
              <w:bottom w:val="single" w:sz="12" w:space="0" w:color="1070B8"/>
            </w:tcBorders>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9"/>
              </w:rPr>
            </w:pPr>
            <w:r>
              <w:rPr>
                <w:rFonts w:ascii="arial" w:hAnsi="arial"/>
                <w:sz w:val="19"/>
              </w:rPr>
              <w:t>Mr. Pearce has been a Regional President since 2011. Since joining the Company, Mr. Pearce has been responsible for the management of operations in several states, including Ohio, North Carolina, Virginia and Maryland. From 2004 to 2011, he was Vice President of Operations for Masco Corporation, a manufacturer of home products, distributor of building products and installer of building products, where he held various other positions beginning in 1984. Mr. Pearce began his career at Carroll Insulation and later served as branch manager at American Aluminum Insulation. He received from Kent Votech his Electrical Apprenticeship certification.</w:t>
            </w:r>
          </w:p>
        </w:tc>
      </w:tr>
      <w:tr>
        <w:trPr/>
        <w:tc>
          <w:tcPr>
            <w:tcW w:w="1768" w:type="dxa"/>
            <w:tcBorders/>
            <w:shd w:fill="D5DBE3" w:val="clear"/>
            <w:vAlign w:val="center"/>
          </w:tcPr>
          <w:p>
            <w:pPr>
              <w:pStyle w:val="TableContents"/>
              <w:bidi w:val="0"/>
              <w:spacing w:before="0" w:after="283"/>
              <w:jc w:val="left"/>
              <w:rPr>
                <w:sz w:val="4"/>
                <w:szCs w:val="4"/>
              </w:rPr>
            </w:pPr>
            <w:r>
              <w:rPr>
                <w:sz w:val="4"/>
                <w:szCs w:val="4"/>
              </w:rPr>
            </w:r>
          </w:p>
        </w:tc>
        <w:tc>
          <w:tcPr>
            <w:tcW w:w="8437" w:type="dxa"/>
            <w:gridSpan w:val="2"/>
            <w:tcBorders/>
            <w:shd w:fill="D5DBE3" w:val="clear"/>
            <w:vAlign w:val="center"/>
          </w:tcPr>
          <w:p>
            <w:pPr>
              <w:pStyle w:val="TableContents"/>
              <w:bidi w:val="0"/>
              <w:spacing w:before="0" w:after="283"/>
              <w:jc w:val="left"/>
              <w:rPr>
                <w:sz w:val="4"/>
                <w:szCs w:val="4"/>
              </w:rPr>
            </w:pPr>
            <w:r>
              <w:rPr>
                <w:sz w:val="4"/>
                <w:szCs w:val="4"/>
              </w:rPr>
            </w:r>
          </w:p>
        </w:tc>
      </w:tr>
      <w:tr>
        <w:trPr/>
        <w:tc>
          <w:tcPr>
            <w:tcW w:w="1768" w:type="dxa"/>
            <w:tcBorders>
              <w:bottom w:val="single" w:sz="12" w:space="0" w:color="1070B8"/>
            </w:tcBorders>
            <w:shd w:fill="D5DBE3" w:val="clear"/>
            <w:tcMar>
              <w:bottom w:w="120" w:type="dxa"/>
            </w:tcMar>
            <w:vAlign w:val="center"/>
          </w:tcPr>
          <w:p>
            <w:pPr>
              <w:pStyle w:val="TableContents"/>
              <w:bidi w:val="0"/>
              <w:spacing w:before="0" w:after="0"/>
              <w:jc w:val="left"/>
              <w:rPr>
                <w:rFonts w:ascii="arial" w:hAnsi="arial"/>
                <w:b/>
                <w:color w:val="1070B8"/>
                <w:sz w:val="19"/>
              </w:rPr>
            </w:pPr>
            <w:r>
              <w:rPr>
                <w:rFonts w:ascii="arial" w:hAnsi="arial"/>
                <w:b/>
                <w:color w:val="1070B8"/>
                <w:sz w:val="19"/>
              </w:rPr>
              <w:t>Kelly Clifford Riehl</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Age 48</w:t>
            </w:r>
          </w:p>
          <w:p>
            <w:pPr>
              <w:pStyle w:val="TableContents"/>
              <w:bidi w:val="0"/>
              <w:spacing w:before="0" w:after="20"/>
              <w:jc w:val="left"/>
              <w:rPr>
                <w:rFonts w:ascii="arial" w:hAnsi="arial"/>
                <w:sz w:val="19"/>
              </w:rPr>
            </w:pPr>
            <w:r>
              <w:rPr>
                <w:rFonts w:ascii="arial" w:hAnsi="arial"/>
                <w:sz w:val="19"/>
              </w:rPr>
              <w:t>Vice President of Communications and Community Relations</w:t>
            </w:r>
          </w:p>
        </w:tc>
        <w:tc>
          <w:tcPr>
            <w:tcW w:w="120" w:type="dxa"/>
            <w:tcBorders>
              <w:bottom w:val="single" w:sz="12" w:space="0" w:color="1070B8"/>
            </w:tcBorders>
            <w:shd w:fill="D5DBE3" w:val="clear"/>
            <w:tcMar>
              <w:bottom w:w="28" w:type="dxa"/>
            </w:tcMar>
            <w:vAlign w:val="center"/>
          </w:tcPr>
          <w:p>
            <w:pPr>
              <w:pStyle w:val="TableContents"/>
              <w:bidi w:val="0"/>
              <w:spacing w:before="0" w:after="283"/>
              <w:jc w:val="left"/>
              <w:rPr/>
            </w:pPr>
            <w:r>
              <w:rPr/>
              <w:t>  </w:t>
            </w:r>
          </w:p>
        </w:tc>
        <w:tc>
          <w:tcPr>
            <w:tcW w:w="8317" w:type="dxa"/>
            <w:tcBorders>
              <w:bottom w:val="single" w:sz="12" w:space="0" w:color="1070B8"/>
            </w:tcBorders>
            <w:shd w:fill="D5DBE3"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9"/>
              </w:rPr>
            </w:pPr>
            <w:r>
              <w:rPr>
                <w:rFonts w:ascii="arial" w:hAnsi="arial"/>
                <w:sz w:val="19"/>
              </w:rPr>
              <w:t>Ms. Clifford Riehl has been our Vice President of Communications and Community Relations since May 2023 and the President of our Foundation since March 2019. She served as our Director of Communications and Community Relations from 2014 to 2023 and our Marketing Manager from 2009 to 2014. Prior to joining us, Ms. Clifford Riehl led a meeting and event company, The Meeting Partners Group, and served in communications, management and marketing roles at Nationwide Arena, the Greater Columbus Convention Center and the Radiological Society of North America. Ms. Clifford Riehl has a Bachelor of Science degree in Organizations Communications from Ohio University and serves on numerous nonprofit boards.</w:t>
            </w:r>
          </w:p>
        </w:tc>
      </w:tr>
      <w:tr>
        <w:trPr/>
        <w:tc>
          <w:tcPr>
            <w:tcW w:w="1768" w:type="dxa"/>
            <w:tcBorders/>
            <w:vAlign w:val="center"/>
          </w:tcPr>
          <w:p>
            <w:pPr>
              <w:pStyle w:val="TableContents"/>
              <w:bidi w:val="0"/>
              <w:spacing w:before="0" w:after="283"/>
              <w:jc w:val="left"/>
              <w:rPr>
                <w:sz w:val="4"/>
                <w:szCs w:val="4"/>
              </w:rPr>
            </w:pPr>
            <w:r>
              <w:rPr>
                <w:sz w:val="4"/>
                <w:szCs w:val="4"/>
              </w:rPr>
            </w:r>
          </w:p>
        </w:tc>
        <w:tc>
          <w:tcPr>
            <w:tcW w:w="8437" w:type="dxa"/>
            <w:gridSpan w:val="2"/>
            <w:tcBorders/>
            <w:vAlign w:val="center"/>
          </w:tcPr>
          <w:p>
            <w:pPr>
              <w:pStyle w:val="TableContents"/>
              <w:bidi w:val="0"/>
              <w:spacing w:before="0" w:after="283"/>
              <w:jc w:val="left"/>
              <w:rPr>
                <w:sz w:val="4"/>
                <w:szCs w:val="4"/>
              </w:rPr>
            </w:pPr>
            <w:r>
              <w:rPr>
                <w:sz w:val="4"/>
                <w:szCs w:val="4"/>
              </w:rPr>
            </w:r>
          </w:p>
        </w:tc>
      </w:tr>
      <w:tr>
        <w:trPr/>
        <w:tc>
          <w:tcPr>
            <w:tcW w:w="1768" w:type="dxa"/>
            <w:tcBorders>
              <w:bottom w:val="single" w:sz="12" w:space="0" w:color="1070B8"/>
            </w:tcBorders>
            <w:tcMar>
              <w:bottom w:w="120" w:type="dxa"/>
            </w:tcMar>
            <w:vAlign w:val="center"/>
          </w:tcPr>
          <w:p>
            <w:pPr>
              <w:pStyle w:val="TableContents"/>
              <w:bidi w:val="0"/>
              <w:spacing w:before="0" w:after="0"/>
              <w:jc w:val="left"/>
              <w:rPr>
                <w:rFonts w:ascii="arial" w:hAnsi="arial"/>
                <w:b/>
                <w:color w:val="1070B8"/>
                <w:sz w:val="19"/>
              </w:rPr>
            </w:pPr>
            <w:r>
              <w:rPr>
                <w:rFonts w:ascii="arial" w:hAnsi="arial"/>
                <w:b/>
                <w:color w:val="1070B8"/>
                <w:sz w:val="19"/>
              </w:rPr>
              <w:t>Randall S. Williamson</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Age 63</w:t>
            </w:r>
          </w:p>
          <w:p>
            <w:pPr>
              <w:pStyle w:val="TableContents"/>
              <w:bidi w:val="0"/>
              <w:spacing w:before="0" w:after="20"/>
              <w:jc w:val="left"/>
              <w:rPr>
                <w:rFonts w:ascii="arial" w:hAnsi="arial"/>
                <w:sz w:val="19"/>
              </w:rPr>
            </w:pPr>
            <w:r>
              <w:rPr>
                <w:rFonts w:ascii="arial" w:hAnsi="arial"/>
                <w:sz w:val="19"/>
              </w:rPr>
              <w:t>Regional President</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8317" w:type="dxa"/>
            <w:tcBorders>
              <w:bottom w:val="single" w:sz="12" w:space="0" w:color="1070B8"/>
            </w:tcBorders>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9"/>
              </w:rPr>
            </w:pPr>
            <w:r>
              <w:rPr>
                <w:rFonts w:ascii="arial" w:hAnsi="arial"/>
                <w:sz w:val="19"/>
              </w:rPr>
              <w:t>Mr. Williamson has been a Regional President since 2001. Since joining us, Mr. Williamson has been responsible for the management of operations in several states, including Massachusetts, New Jersey, New York and Michigan. He began his career in 1981 at Monroe Insulation and Gutter Company Incorporated, or Monroe, where he progressed to become Vice President in 1992. In 1996, Mr. Williamson purchased Monroe and merged it with other companies to form American Building Systems, Inc., where he served as President until 2001. American Building Systems, Inc. merged with us in 2001. Mr. Williamson attended Colorado State University and serves on the board of governors for U.S. Grown Foods.</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Executive Officers and Certain Significant Employees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bookmarkStart w:id="57" w:name="toc849638_59"/>
      <w:bookmarkEnd w:id="57"/>
      <w:r>
        <w:rPr>
          <w:rFonts w:ascii="Times New Roman" w:hAnsi="Times New Roman"/>
          <w:b/>
          <w:color w:val="1070B8"/>
          <w:sz w:val="44"/>
        </w:rPr>
        <w:t xml:space="preserve">COMPENSATION DISCUSSION AND ANALYSIS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ACB9CA" w:val="clear"/>
            <w:vAlign w:val="center"/>
          </w:tcPr>
          <w:p>
            <w:pPr>
              <w:pStyle w:val="TableContents"/>
              <w:bidi w:val="0"/>
              <w:spacing w:before="0" w:after="283"/>
              <w:jc w:val="left"/>
              <w:rPr>
                <w:sz w:val="4"/>
                <w:szCs w:val="4"/>
              </w:rPr>
            </w:pPr>
            <w:r>
              <w:rPr>
                <w:sz w:val="4"/>
                <w:szCs w:val="4"/>
              </w:rPr>
            </w:r>
          </w:p>
        </w:tc>
      </w:tr>
      <w:tr>
        <w:trPr/>
        <w:tc>
          <w:tcPr>
            <w:tcW w:w="10205" w:type="dxa"/>
            <w:tcBorders>
              <w:bottom w:val="single" w:sz="12" w:space="0" w:color="1070B8"/>
            </w:tcBorders>
            <w:shd w:fill="ACB9CA" w:val="clear"/>
            <w:tcMar>
              <w:bottom w:w="28" w:type="dxa"/>
            </w:tcMar>
            <w:vAlign w:val="center"/>
          </w:tcPr>
          <w:p>
            <w:pPr>
              <w:pStyle w:val="TableContents"/>
              <w:bidi w:val="0"/>
              <w:spacing w:before="0" w:after="0"/>
              <w:jc w:val="left"/>
              <w:rPr>
                <w:rFonts w:ascii="arial" w:hAnsi="arial"/>
                <w:b/>
                <w:color w:val="1F295C"/>
                <w:sz w:val="24"/>
              </w:rPr>
            </w:pPr>
            <w:bookmarkStart w:id="58" w:name="toc849638_60"/>
            <w:bookmarkEnd w:id="58"/>
            <w:r>
              <w:rPr>
                <w:rFonts w:ascii="arial" w:hAnsi="arial"/>
                <w:b/>
                <w:color w:val="1F295C"/>
                <w:sz w:val="24"/>
              </w:rPr>
              <w:t>CHC Committee Report</w:t>
            </w:r>
          </w:p>
          <w:p>
            <w:pPr>
              <w:pStyle w:val="TableContents"/>
              <w:bidi w:val="0"/>
              <w:spacing w:before="0" w:after="20"/>
              <w:jc w:val="left"/>
              <w:rPr/>
            </w:pPr>
            <w:r>
              <w:rPr/>
              <w:t> </w:t>
            </w:r>
          </w:p>
        </w:tc>
      </w:tr>
      <w:tr>
        <w:trPr/>
        <w:tc>
          <w:tcPr>
            <w:tcW w:w="1020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The CHC Committee has reviewed the Compensation Discussion and Analysis (“CD&amp;A”) included in this Proxy Statement and has discussed the CD&amp;A with members of the management team involved in the compensation process. Based on such review and discussions, the CHC Committee recommended to the Board of Directors that the CD&amp;A be included in this Proxy Statement and incorporated in the Company’s Annual Report on Form 10-K for the year ended December 31, 2024.</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CHC Committee</w:t>
            </w:r>
          </w:p>
          <w:p>
            <w:pPr>
              <w:pStyle w:val="TableContents"/>
              <w:bidi w:val="0"/>
              <w:spacing w:before="0" w:after="0"/>
              <w:jc w:val="left"/>
              <w:rPr/>
            </w:pPr>
            <w:r>
              <w:rPr/>
              <w:t> </w:t>
            </w:r>
          </w:p>
          <w:p>
            <w:pPr>
              <w:pStyle w:val="TableContents"/>
              <w:bidi w:val="0"/>
              <w:spacing w:before="0" w:after="0"/>
              <w:jc w:val="left"/>
              <w:rPr>
                <w:rFonts w:ascii="arial" w:hAnsi="arial"/>
                <w:i/>
                <w:sz w:val="20"/>
              </w:rPr>
            </w:pPr>
            <w:r>
              <w:rPr>
                <w:rFonts w:ascii="arial" w:hAnsi="arial"/>
                <w:i/>
                <w:sz w:val="20"/>
              </w:rPr>
              <w:t>Janet E. Jackson (Chair)</w:t>
            </w:r>
          </w:p>
          <w:p>
            <w:pPr>
              <w:pStyle w:val="TableContents"/>
              <w:bidi w:val="0"/>
              <w:spacing w:before="0" w:after="0"/>
              <w:jc w:val="left"/>
              <w:rPr>
                <w:rFonts w:ascii="arial" w:hAnsi="arial"/>
                <w:i/>
                <w:sz w:val="20"/>
              </w:rPr>
            </w:pPr>
            <w:r>
              <w:rPr>
                <w:rFonts w:ascii="arial" w:hAnsi="arial"/>
                <w:i/>
                <w:sz w:val="20"/>
              </w:rPr>
              <w:t>David R. Meuse</w:t>
            </w:r>
          </w:p>
          <w:p>
            <w:pPr>
              <w:pStyle w:val="TableContents"/>
              <w:bidi w:val="0"/>
              <w:spacing w:before="0" w:after="0"/>
              <w:jc w:val="left"/>
              <w:rPr>
                <w:rFonts w:ascii="arial" w:hAnsi="arial"/>
                <w:i/>
                <w:sz w:val="20"/>
              </w:rPr>
            </w:pPr>
            <w:r>
              <w:rPr>
                <w:rFonts w:ascii="arial" w:hAnsi="arial"/>
                <w:i/>
                <w:sz w:val="20"/>
              </w:rPr>
              <w:t>Marchelle E. Moore</w:t>
            </w:r>
          </w:p>
          <w:p>
            <w:pPr>
              <w:pStyle w:val="TableContents"/>
              <w:bidi w:val="0"/>
              <w:spacing w:before="0" w:after="20"/>
              <w:jc w:val="left"/>
              <w:rPr/>
            </w:pPr>
            <w:r>
              <w:rPr/>
              <w:t> </w:t>
            </w:r>
          </w:p>
        </w:tc>
      </w:tr>
    </w:tbl>
    <w:p>
      <w:pPr>
        <w:pStyle w:val="TextBody"/>
        <w:bidi w:val="0"/>
        <w:spacing w:before="240" w:after="0"/>
        <w:jc w:val="left"/>
        <w:rPr>
          <w:rFonts w:ascii="arial" w:hAnsi="arial"/>
          <w:b/>
          <w:color w:val="1F295C"/>
          <w:sz w:val="24"/>
        </w:rPr>
      </w:pPr>
      <w:bookmarkStart w:id="59" w:name="toc849638_61"/>
      <w:bookmarkEnd w:id="59"/>
      <w:r>
        <w:rPr>
          <w:rFonts w:ascii="arial" w:hAnsi="arial"/>
          <w:b/>
          <w:color w:val="1F295C"/>
          <w:sz w:val="24"/>
        </w:rPr>
        <w:t xml:space="preserve">CD&amp;A 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21"/>
        <w:gridCol w:w="60"/>
        <w:gridCol w:w="716"/>
        <w:gridCol w:w="60"/>
        <w:gridCol w:w="4555"/>
        <w:gridCol w:w="60"/>
        <w:gridCol w:w="733"/>
      </w:tblGrid>
      <w:tr>
        <w:trPr/>
        <w:tc>
          <w:tcPr>
            <w:tcW w:w="40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4021" w:type="dxa"/>
            <w:tcBorders>
              <w:top w:val="single" w:sz="12" w:space="0" w:color="1070B8"/>
            </w:tcBorders>
            <w:shd w:fill="1070B8" w:val="clear"/>
            <w:tcMar>
              <w:top w:w="28" w:type="dxa"/>
            </w:tcMar>
            <w:vAlign w:val="center"/>
          </w:tcPr>
          <w:p>
            <w:pPr>
              <w:pStyle w:val="TableContents"/>
              <w:bidi w:val="0"/>
              <w:spacing w:before="0" w:after="283"/>
              <w:jc w:val="left"/>
              <w:rPr/>
            </w:pPr>
            <w:r>
              <w:rPr/>
              <w:t> </w:t>
            </w:r>
          </w:p>
        </w:tc>
        <w:tc>
          <w:tcPr>
            <w:tcW w:w="776"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4615" w:type="dxa"/>
            <w:gridSpan w:val="2"/>
            <w:tcBorders>
              <w:top w:val="single" w:sz="12" w:space="0" w:color="1070B8"/>
            </w:tcBorders>
            <w:shd w:fill="1070B8" w:val="clear"/>
            <w:tcMar>
              <w:top w:w="28" w:type="dxa"/>
            </w:tcMar>
            <w:vAlign w:val="center"/>
          </w:tcPr>
          <w:p>
            <w:pPr>
              <w:pStyle w:val="TableContents"/>
              <w:bidi w:val="0"/>
              <w:spacing w:before="0" w:after="283"/>
              <w:jc w:val="left"/>
              <w:rPr/>
            </w:pPr>
            <w:r>
              <w:rPr/>
              <w:t> </w:t>
            </w:r>
          </w:p>
        </w:tc>
        <w:tc>
          <w:tcPr>
            <w:tcW w:w="793" w:type="dxa"/>
            <w:gridSpan w:val="2"/>
            <w:tcBorders>
              <w:top w:val="single" w:sz="12" w:space="0" w:color="1070B8"/>
            </w:tcBorders>
            <w:tcMar>
              <w:top w:w="28" w:type="dxa"/>
            </w:tcMar>
            <w:vAlign w:val="center"/>
          </w:tcPr>
          <w:p>
            <w:pPr>
              <w:pStyle w:val="TableContents"/>
              <w:bidi w:val="0"/>
              <w:spacing w:before="0" w:after="283"/>
              <w:jc w:val="left"/>
              <w:rPr/>
            </w:pPr>
            <w:r>
              <w:rPr/>
              <w:t> </w:t>
            </w:r>
          </w:p>
        </w:tc>
      </w:tr>
      <w:tr>
        <w:trPr/>
        <w:tc>
          <w:tcPr>
            <w:tcW w:w="4021" w:type="dxa"/>
            <w:tcBorders/>
            <w:shd w:fill="1070B8" w:val="clear"/>
            <w:vAlign w:val="center"/>
          </w:tcPr>
          <w:p>
            <w:pPr>
              <w:pStyle w:val="TableContents"/>
              <w:bidi w:val="0"/>
              <w:spacing w:before="0" w:after="0"/>
              <w:jc w:val="left"/>
              <w:rPr>
                <w:color w:val="FFFFFF"/>
              </w:rPr>
            </w:pPr>
            <w:r>
              <w:rPr>
                <w:color w:val="FFFFFF"/>
              </w:rPr>
              <w:t> </w:t>
            </w:r>
            <w:r>
              <w:rPr>
                <w:rFonts w:ascii="arial" w:hAnsi="arial"/>
                <w:i/>
                <w:color w:val="FFFFFF"/>
                <w:sz w:val="20"/>
              </w:rPr>
              <w:t>Section 1 – Executive Summary</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 </w:t>
            </w:r>
            <w:r>
              <w:rPr/>
              <w:t>Page </w:t>
            </w:r>
          </w:p>
        </w:tc>
        <w:tc>
          <w:tcPr>
            <w:tcW w:w="60" w:type="dxa"/>
            <w:tcBorders/>
            <w:shd w:fill="1070B8" w:val="clear"/>
            <w:vAlign w:val="center"/>
          </w:tcPr>
          <w:p>
            <w:pPr>
              <w:pStyle w:val="TableContents"/>
              <w:bidi w:val="0"/>
              <w:spacing w:before="0" w:after="283"/>
              <w:jc w:val="left"/>
              <w:rPr/>
            </w:pPr>
            <w:r>
              <w:rPr/>
              <w:t> </w:t>
            </w:r>
          </w:p>
        </w:tc>
        <w:tc>
          <w:tcPr>
            <w:tcW w:w="4555" w:type="dxa"/>
            <w:tcBorders/>
            <w:shd w:fill="1070B8" w:val="clear"/>
            <w:vAlign w:val="center"/>
          </w:tcPr>
          <w:p>
            <w:pPr>
              <w:pStyle w:val="TableContents"/>
              <w:bidi w:val="0"/>
              <w:spacing w:before="0" w:after="0"/>
              <w:jc w:val="left"/>
              <w:rPr>
                <w:color w:val="FFFFFF"/>
              </w:rPr>
            </w:pPr>
            <w:r>
              <w:rPr>
                <w:color w:val="FFFFFF"/>
              </w:rPr>
              <w:t> </w:t>
            </w:r>
            <w:r>
              <w:rPr>
                <w:rFonts w:ascii="arial" w:hAnsi="arial"/>
                <w:i/>
                <w:color w:val="FFFFFF"/>
                <w:sz w:val="20"/>
              </w:rPr>
              <w:t>Section 3 – Elements of our Compensation  Program</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 </w:t>
            </w:r>
            <w:r>
              <w:rPr/>
              <w:t>Page </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1">
              <w:r>
                <w:rPr>
                  <w:rStyle w:val="InternetLink"/>
                  <w:rFonts w:ascii="arial" w:hAnsi="arial"/>
                  <w:sz w:val="20"/>
                </w:rPr>
                <w:t>Our Growth Strategy</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51</w:t>
            </w:r>
          </w:p>
        </w:tc>
        <w:tc>
          <w:tcPr>
            <w:tcW w:w="60" w:type="dxa"/>
            <w:tcBorders/>
            <w:vAlign w:val="center"/>
          </w:tcPr>
          <w:p>
            <w:pPr>
              <w:pStyle w:val="TableContents"/>
              <w:bidi w:val="0"/>
              <w:spacing w:before="0" w:after="283"/>
              <w:jc w:val="left"/>
              <w:rPr/>
            </w:pPr>
            <w:r>
              <w:rPr/>
              <w:t> </w:t>
            </w:r>
          </w:p>
        </w:tc>
        <w:tc>
          <w:tcPr>
            <w:tcW w:w="4555" w:type="dxa"/>
            <w:tcBorders/>
            <w:vAlign w:val="center"/>
          </w:tcPr>
          <w:p>
            <w:pPr>
              <w:pStyle w:val="TableContents"/>
              <w:bidi w:val="0"/>
              <w:spacing w:before="0" w:after="0"/>
              <w:jc w:val="left"/>
              <w:rPr/>
            </w:pPr>
            <w:r>
              <w:rPr>
                <w:color w:val="1F295C"/>
              </w:rPr>
              <w:t>◾</w:t>
            </w:r>
            <w:r>
              <w:rPr/>
              <w:t>  </w:t>
            </w:r>
            <w:hyperlink w:anchor="txc849638_18">
              <w:r>
                <w:rPr>
                  <w:rStyle w:val="InternetLink"/>
                  <w:rFonts w:ascii="arial" w:hAnsi="arial"/>
                  <w:sz w:val="20"/>
                </w:rPr>
                <w:t>Compensation Components</w:t>
              </w:r>
            </w:hyperlink>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59</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2">
              <w:r>
                <w:rPr>
                  <w:rStyle w:val="InternetLink"/>
                  <w:rFonts w:ascii="arial" w:hAnsi="arial"/>
                  <w:sz w:val="20"/>
                </w:rPr>
                <w:t>Our Capital Allocation Strategy</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52</w:t>
            </w:r>
          </w:p>
        </w:tc>
        <w:tc>
          <w:tcPr>
            <w:tcW w:w="60" w:type="dxa"/>
            <w:tcBorders/>
            <w:vAlign w:val="center"/>
          </w:tcPr>
          <w:p>
            <w:pPr>
              <w:pStyle w:val="TableContents"/>
              <w:bidi w:val="0"/>
              <w:spacing w:before="0" w:after="283"/>
              <w:jc w:val="left"/>
              <w:rPr/>
            </w:pPr>
            <w:r>
              <w:rPr/>
              <w:t> </w:t>
            </w:r>
          </w:p>
        </w:tc>
        <w:tc>
          <w:tcPr>
            <w:tcW w:w="4555" w:type="dxa"/>
            <w:tcBorders/>
            <w:vAlign w:val="center"/>
          </w:tcPr>
          <w:p>
            <w:pPr>
              <w:pStyle w:val="TableContents"/>
              <w:bidi w:val="0"/>
              <w:spacing w:before="0" w:after="0"/>
              <w:jc w:val="left"/>
              <w:rPr/>
            </w:pPr>
            <w:r>
              <w:rPr>
                <w:color w:val="1F295C"/>
              </w:rPr>
              <w:t>◾</w:t>
            </w:r>
            <w:r>
              <w:rPr/>
              <w:t>  </w:t>
            </w:r>
            <w:hyperlink w:anchor="txc849638_19">
              <w:r>
                <w:rPr>
                  <w:rStyle w:val="InternetLink"/>
                  <w:rFonts w:ascii="arial" w:hAnsi="arial"/>
                  <w:sz w:val="20"/>
                </w:rPr>
                <w:t>Base Salary</w:t>
              </w:r>
            </w:hyperlink>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60</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3">
              <w:r>
                <w:rPr>
                  <w:rStyle w:val="InternetLink"/>
                  <w:rFonts w:ascii="arial" w:hAnsi="arial"/>
                  <w:sz w:val="20"/>
                </w:rPr>
                <w:t>Our Acquisition Strategy</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53</w:t>
            </w:r>
          </w:p>
        </w:tc>
        <w:tc>
          <w:tcPr>
            <w:tcW w:w="60" w:type="dxa"/>
            <w:tcBorders/>
            <w:vAlign w:val="center"/>
          </w:tcPr>
          <w:p>
            <w:pPr>
              <w:pStyle w:val="TableContents"/>
              <w:bidi w:val="0"/>
              <w:spacing w:before="0" w:after="283"/>
              <w:jc w:val="left"/>
              <w:rPr/>
            </w:pPr>
            <w:r>
              <w:rPr/>
              <w:t> </w:t>
            </w:r>
          </w:p>
        </w:tc>
        <w:tc>
          <w:tcPr>
            <w:tcW w:w="4555" w:type="dxa"/>
            <w:tcBorders/>
            <w:vAlign w:val="center"/>
          </w:tcPr>
          <w:p>
            <w:pPr>
              <w:pStyle w:val="TableContents"/>
              <w:bidi w:val="0"/>
              <w:spacing w:before="0" w:after="0"/>
              <w:jc w:val="left"/>
              <w:rPr/>
            </w:pPr>
            <w:r>
              <w:rPr>
                <w:color w:val="1F295C"/>
              </w:rPr>
              <w:t>◾</w:t>
            </w:r>
            <w:r>
              <w:rPr/>
              <w:t>  </w:t>
            </w:r>
            <w:hyperlink w:anchor="txc849638_20">
              <w:r>
                <w:rPr>
                  <w:rStyle w:val="InternetLink"/>
                  <w:rFonts w:ascii="arial" w:hAnsi="arial"/>
                  <w:sz w:val="20"/>
                </w:rPr>
                <w:t>Performance-Based Cash Incentives</w:t>
              </w:r>
            </w:hyperlink>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60</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4">
              <w:r>
                <w:rPr>
                  <w:rStyle w:val="InternetLink"/>
                  <w:rFonts w:ascii="arial" w:hAnsi="arial"/>
                  <w:sz w:val="20"/>
                </w:rPr>
                <w:t>2024 Financial Highlights</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53</w:t>
            </w:r>
          </w:p>
        </w:tc>
        <w:tc>
          <w:tcPr>
            <w:tcW w:w="60" w:type="dxa"/>
            <w:tcBorders/>
            <w:vAlign w:val="center"/>
          </w:tcPr>
          <w:p>
            <w:pPr>
              <w:pStyle w:val="TableContents"/>
              <w:bidi w:val="0"/>
              <w:spacing w:before="0" w:after="283"/>
              <w:jc w:val="left"/>
              <w:rPr/>
            </w:pPr>
            <w:r>
              <w:rPr/>
              <w:t> </w:t>
            </w:r>
          </w:p>
        </w:tc>
        <w:tc>
          <w:tcPr>
            <w:tcW w:w="4555" w:type="dxa"/>
            <w:tcBorders/>
            <w:vAlign w:val="center"/>
          </w:tcPr>
          <w:p>
            <w:pPr>
              <w:pStyle w:val="TableContents"/>
              <w:bidi w:val="0"/>
              <w:spacing w:before="0" w:after="0"/>
              <w:jc w:val="left"/>
              <w:rPr/>
            </w:pPr>
            <w:r>
              <w:rPr>
                <w:color w:val="1F295C"/>
              </w:rPr>
              <w:t>◾</w:t>
            </w:r>
            <w:r>
              <w:rPr/>
              <w:t>  </w:t>
            </w:r>
            <w:hyperlink w:anchor="txc849638_21">
              <w:r>
                <w:rPr>
                  <w:rStyle w:val="InternetLink"/>
                  <w:rFonts w:ascii="arial" w:hAnsi="arial"/>
                  <w:sz w:val="20"/>
                </w:rPr>
                <w:t>Performance-Based Equity Incentives</w:t>
              </w:r>
            </w:hyperlink>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61</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shd w:fill="1070B8" w:val="clear"/>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5">
              <w:r>
                <w:rPr>
                  <w:rStyle w:val="InternetLink"/>
                  <w:rFonts w:ascii="arial" w:hAnsi="arial"/>
                  <w:sz w:val="20"/>
                </w:rPr>
                <w:t>Pay for Performance</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53</w:t>
            </w:r>
          </w:p>
        </w:tc>
        <w:tc>
          <w:tcPr>
            <w:tcW w:w="60" w:type="dxa"/>
            <w:tcBorders/>
            <w:shd w:fill="1070B8" w:val="clear"/>
            <w:vAlign w:val="center"/>
          </w:tcPr>
          <w:p>
            <w:pPr>
              <w:pStyle w:val="TableContents"/>
              <w:bidi w:val="0"/>
              <w:spacing w:before="0" w:after="283"/>
              <w:jc w:val="left"/>
              <w:rPr/>
            </w:pPr>
            <w:r>
              <w:rPr/>
              <w:t> </w:t>
            </w:r>
          </w:p>
        </w:tc>
        <w:tc>
          <w:tcPr>
            <w:tcW w:w="4555" w:type="dxa"/>
            <w:tcBorders/>
            <w:shd w:fill="1070B8" w:val="clear"/>
            <w:vAlign w:val="center"/>
          </w:tcPr>
          <w:p>
            <w:pPr>
              <w:pStyle w:val="TableContents"/>
              <w:bidi w:val="0"/>
              <w:spacing w:before="0" w:after="0"/>
              <w:jc w:val="left"/>
              <w:rPr>
                <w:color w:val="FFFFFF"/>
              </w:rPr>
            </w:pPr>
            <w:r>
              <w:rPr>
                <w:color w:val="FFFFFF"/>
              </w:rPr>
              <w:t> </w:t>
            </w:r>
            <w:r>
              <w:rPr>
                <w:rFonts w:ascii="arial" w:hAnsi="arial"/>
                <w:i/>
                <w:color w:val="FFFFFF"/>
                <w:sz w:val="20"/>
              </w:rPr>
              <w:t>Section 4 – What we Paid in 2024</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6">
              <w:r>
                <w:rPr>
                  <w:rStyle w:val="InternetLink"/>
                  <w:rFonts w:ascii="arial" w:hAnsi="arial"/>
                  <w:sz w:val="20"/>
                </w:rPr>
                <w:t>2024 Say-on-Pay Voting Results</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54</w:t>
            </w:r>
          </w:p>
        </w:tc>
        <w:tc>
          <w:tcPr>
            <w:tcW w:w="60" w:type="dxa"/>
            <w:tcBorders/>
            <w:vAlign w:val="center"/>
          </w:tcPr>
          <w:p>
            <w:pPr>
              <w:pStyle w:val="TableContents"/>
              <w:bidi w:val="0"/>
              <w:spacing w:before="0" w:after="283"/>
              <w:jc w:val="left"/>
              <w:rPr/>
            </w:pPr>
            <w:r>
              <w:rPr/>
              <w:t> </w:t>
            </w:r>
          </w:p>
        </w:tc>
        <w:tc>
          <w:tcPr>
            <w:tcW w:w="4555" w:type="dxa"/>
            <w:tcBorders/>
            <w:vAlign w:val="center"/>
          </w:tcPr>
          <w:p>
            <w:pPr>
              <w:pStyle w:val="TableContents"/>
              <w:bidi w:val="0"/>
              <w:spacing w:before="0" w:after="0"/>
              <w:jc w:val="left"/>
              <w:rPr/>
            </w:pPr>
            <w:r>
              <w:rPr>
                <w:color w:val="1F295C"/>
              </w:rPr>
              <w:t>◾</w:t>
            </w:r>
            <w:r>
              <w:rPr/>
              <w:t>  </w:t>
            </w:r>
            <w:hyperlink w:anchor="txc849638_22">
              <w:r>
                <w:rPr>
                  <w:rStyle w:val="InternetLink"/>
                  <w:rFonts w:ascii="arial" w:hAnsi="arial"/>
                  <w:sz w:val="20"/>
                </w:rPr>
                <w:t>2024 Base Salary</w:t>
              </w:r>
            </w:hyperlink>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61</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7">
              <w:r>
                <w:rPr>
                  <w:rStyle w:val="InternetLink"/>
                  <w:rFonts w:ascii="arial" w:hAnsi="arial"/>
                  <w:sz w:val="20"/>
                </w:rPr>
                <w:t>2024 Named Executive Officers</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54</w:t>
            </w:r>
          </w:p>
        </w:tc>
        <w:tc>
          <w:tcPr>
            <w:tcW w:w="60" w:type="dxa"/>
            <w:tcBorders/>
            <w:vAlign w:val="center"/>
          </w:tcPr>
          <w:p>
            <w:pPr>
              <w:pStyle w:val="TableContents"/>
              <w:bidi w:val="0"/>
              <w:spacing w:before="0" w:after="283"/>
              <w:jc w:val="left"/>
              <w:rPr/>
            </w:pPr>
            <w:r>
              <w:rPr/>
              <w:t> </w:t>
            </w:r>
          </w:p>
        </w:tc>
        <w:tc>
          <w:tcPr>
            <w:tcW w:w="4555" w:type="dxa"/>
            <w:tcBorders/>
            <w:vAlign w:val="center"/>
          </w:tcPr>
          <w:p>
            <w:pPr>
              <w:pStyle w:val="TableContents"/>
              <w:bidi w:val="0"/>
              <w:spacing w:before="0" w:after="0"/>
              <w:jc w:val="left"/>
              <w:rPr/>
            </w:pPr>
            <w:r>
              <w:rPr>
                <w:color w:val="1F295C"/>
              </w:rPr>
              <w:t>◾</w:t>
            </w:r>
            <w:r>
              <w:rPr/>
              <w:t>  </w:t>
            </w:r>
            <w:hyperlink w:anchor="txc849638_23">
              <w:r>
                <w:rPr>
                  <w:rStyle w:val="InternetLink"/>
                  <w:rFonts w:ascii="arial" w:hAnsi="arial"/>
                  <w:sz w:val="20"/>
                </w:rPr>
                <w:t>2024 Performance-Based Incentive Cash Awards</w:t>
              </w:r>
            </w:hyperlink>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62</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8">
              <w:r>
                <w:rPr>
                  <w:rStyle w:val="InternetLink"/>
                  <w:rFonts w:ascii="arial" w:hAnsi="arial"/>
                  <w:sz w:val="20"/>
                </w:rPr>
                <w:t>2024 Executive Compensation at a Glance</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54</w:t>
            </w:r>
          </w:p>
        </w:tc>
        <w:tc>
          <w:tcPr>
            <w:tcW w:w="60" w:type="dxa"/>
            <w:tcBorders/>
            <w:vAlign w:val="center"/>
          </w:tcPr>
          <w:p>
            <w:pPr>
              <w:pStyle w:val="TableContents"/>
              <w:bidi w:val="0"/>
              <w:spacing w:before="0" w:after="283"/>
              <w:jc w:val="left"/>
              <w:rPr/>
            </w:pPr>
            <w:r>
              <w:rPr/>
              <w:t> </w:t>
            </w:r>
          </w:p>
        </w:tc>
        <w:tc>
          <w:tcPr>
            <w:tcW w:w="4555" w:type="dxa"/>
            <w:tcBorders/>
            <w:vAlign w:val="center"/>
          </w:tcPr>
          <w:p>
            <w:pPr>
              <w:pStyle w:val="TableContents"/>
              <w:bidi w:val="0"/>
              <w:spacing w:before="0" w:after="0"/>
              <w:jc w:val="left"/>
              <w:rPr/>
            </w:pPr>
            <w:r>
              <w:rPr>
                <w:color w:val="1F295C"/>
              </w:rPr>
              <w:t>◾</w:t>
            </w:r>
            <w:r>
              <w:rPr/>
              <w:t>  </w:t>
            </w:r>
            <w:hyperlink w:anchor="txc849638_24">
              <w:r>
                <w:rPr>
                  <w:rStyle w:val="InternetLink"/>
                  <w:rFonts w:ascii="arial" w:hAnsi="arial"/>
                  <w:sz w:val="20"/>
                </w:rPr>
                <w:t>2024 Performance-Based Incentive Equity Awards</w:t>
              </w:r>
            </w:hyperlink>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62</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9">
              <w:r>
                <w:rPr>
                  <w:rStyle w:val="InternetLink"/>
                  <w:rFonts w:ascii="arial" w:hAnsi="arial"/>
                  <w:sz w:val="20"/>
                </w:rPr>
                <w:t>2024 Target Compensation Mix</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54</w:t>
            </w:r>
          </w:p>
        </w:tc>
        <w:tc>
          <w:tcPr>
            <w:tcW w:w="60" w:type="dxa"/>
            <w:tcBorders/>
            <w:vAlign w:val="center"/>
          </w:tcPr>
          <w:p>
            <w:pPr>
              <w:pStyle w:val="TableContents"/>
              <w:bidi w:val="0"/>
              <w:spacing w:before="0" w:after="283"/>
              <w:jc w:val="left"/>
              <w:rPr/>
            </w:pPr>
            <w:r>
              <w:rPr/>
              <w:t> </w:t>
            </w:r>
          </w:p>
        </w:tc>
        <w:tc>
          <w:tcPr>
            <w:tcW w:w="4555" w:type="dxa"/>
            <w:tcBorders/>
            <w:vAlign w:val="center"/>
          </w:tcPr>
          <w:p>
            <w:pPr>
              <w:pStyle w:val="TableContents"/>
              <w:bidi w:val="0"/>
              <w:spacing w:before="0" w:after="0"/>
              <w:jc w:val="left"/>
              <w:rPr/>
            </w:pPr>
            <w:r>
              <w:rPr>
                <w:color w:val="1F295C"/>
              </w:rPr>
              <w:t>◾</w:t>
            </w:r>
            <w:r>
              <w:rPr/>
              <w:t>  </w:t>
            </w:r>
            <w:hyperlink w:anchor="txc849638_25">
              <w:r>
                <w:rPr>
                  <w:rStyle w:val="InternetLink"/>
                  <w:rFonts w:ascii="arial" w:hAnsi="arial"/>
                  <w:sz w:val="20"/>
                </w:rPr>
                <w:t>Compensation Changes after December 31, 2024</w:t>
              </w:r>
            </w:hyperlink>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63</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shd w:fill="1070B8" w:val="clear"/>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10">
              <w:r>
                <w:rPr>
                  <w:rStyle w:val="InternetLink"/>
                  <w:rFonts w:ascii="arial" w:hAnsi="arial"/>
                  <w:sz w:val="20"/>
                </w:rPr>
                <w:t>Key Compensation Practices for Executives</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55</w:t>
            </w:r>
          </w:p>
        </w:tc>
        <w:tc>
          <w:tcPr>
            <w:tcW w:w="60" w:type="dxa"/>
            <w:tcBorders/>
            <w:shd w:fill="1070B8" w:val="clear"/>
            <w:vAlign w:val="center"/>
          </w:tcPr>
          <w:p>
            <w:pPr>
              <w:pStyle w:val="TableContents"/>
              <w:bidi w:val="0"/>
              <w:spacing w:before="0" w:after="283"/>
              <w:jc w:val="left"/>
              <w:rPr/>
            </w:pPr>
            <w:r>
              <w:rPr/>
              <w:t> </w:t>
            </w:r>
          </w:p>
        </w:tc>
        <w:tc>
          <w:tcPr>
            <w:tcW w:w="4555" w:type="dxa"/>
            <w:tcBorders/>
            <w:shd w:fill="1070B8" w:val="clear"/>
            <w:vAlign w:val="center"/>
          </w:tcPr>
          <w:p>
            <w:pPr>
              <w:pStyle w:val="TableContents"/>
              <w:bidi w:val="0"/>
              <w:spacing w:before="0" w:after="0"/>
              <w:jc w:val="left"/>
              <w:rPr>
                <w:color w:val="FFFFFF"/>
              </w:rPr>
            </w:pPr>
            <w:r>
              <w:rPr>
                <w:color w:val="FFFFFF"/>
              </w:rPr>
              <w:t> </w:t>
            </w:r>
            <w:r>
              <w:rPr>
                <w:rFonts w:ascii="arial" w:hAnsi="arial"/>
                <w:i/>
                <w:color w:val="FFFFFF"/>
                <w:sz w:val="20"/>
              </w:rPr>
              <w:t>Section 5 – Other Compensation and Policies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1070B8" w:val="clear"/>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shd w:fill="1070B8" w:val="clear"/>
            <w:vAlign w:val="center"/>
          </w:tcPr>
          <w:p>
            <w:pPr>
              <w:pStyle w:val="TableContents"/>
              <w:bidi w:val="0"/>
              <w:spacing w:before="0" w:after="20"/>
              <w:jc w:val="left"/>
              <w:rPr>
                <w:color w:val="FFFFFF"/>
              </w:rPr>
            </w:pPr>
            <w:r>
              <w:rPr>
                <w:color w:val="FFFFFF"/>
              </w:rPr>
              <w:t> </w:t>
            </w:r>
            <w:r>
              <w:rPr>
                <w:rFonts w:ascii="arial" w:hAnsi="arial"/>
                <w:i/>
                <w:color w:val="FFFFFF"/>
                <w:sz w:val="20"/>
              </w:rPr>
              <w:t>Section 2 – How We Determine Pay</w:t>
            </w:r>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5" w:type="dxa"/>
            <w:tcBorders/>
            <w:vAlign w:val="center"/>
          </w:tcPr>
          <w:p>
            <w:pPr>
              <w:pStyle w:val="TableContents"/>
              <w:bidi w:val="0"/>
              <w:spacing w:before="0" w:after="0"/>
              <w:jc w:val="left"/>
              <w:rPr/>
            </w:pPr>
            <w:r>
              <w:rPr>
                <w:color w:val="1F295C"/>
              </w:rPr>
              <w:t>◾</w:t>
            </w:r>
            <w:r>
              <w:rPr/>
              <w:t>  </w:t>
            </w:r>
            <w:hyperlink w:anchor="txc849638_26">
              <w:r>
                <w:rPr>
                  <w:rStyle w:val="InternetLink"/>
                  <w:rFonts w:ascii="arial" w:hAnsi="arial"/>
                  <w:sz w:val="20"/>
                </w:rPr>
                <w:t>Perquisites</w:t>
              </w:r>
            </w:hyperlink>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65</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11">
              <w:r>
                <w:rPr>
                  <w:rStyle w:val="InternetLink"/>
                  <w:rFonts w:ascii="arial" w:hAnsi="arial"/>
                  <w:sz w:val="20"/>
                </w:rPr>
                <w:t>Our Philosophy</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55</w:t>
            </w:r>
          </w:p>
        </w:tc>
        <w:tc>
          <w:tcPr>
            <w:tcW w:w="60" w:type="dxa"/>
            <w:tcBorders/>
            <w:vAlign w:val="center"/>
          </w:tcPr>
          <w:p>
            <w:pPr>
              <w:pStyle w:val="TableContents"/>
              <w:bidi w:val="0"/>
              <w:spacing w:before="0" w:after="283"/>
              <w:jc w:val="left"/>
              <w:rPr/>
            </w:pPr>
            <w:r>
              <w:rPr/>
              <w:t> </w:t>
            </w:r>
          </w:p>
        </w:tc>
        <w:tc>
          <w:tcPr>
            <w:tcW w:w="4555" w:type="dxa"/>
            <w:tcBorders/>
            <w:vAlign w:val="center"/>
          </w:tcPr>
          <w:p>
            <w:pPr>
              <w:pStyle w:val="TableContents"/>
              <w:bidi w:val="0"/>
              <w:spacing w:before="0" w:after="0"/>
              <w:jc w:val="left"/>
              <w:rPr/>
            </w:pPr>
            <w:r>
              <w:rPr>
                <w:color w:val="1F295C"/>
              </w:rPr>
              <w:t>◾</w:t>
            </w:r>
            <w:r>
              <w:rPr/>
              <w:t>  </w:t>
            </w:r>
            <w:hyperlink w:anchor="txc849638_27">
              <w:r>
                <w:rPr>
                  <w:rStyle w:val="InternetLink"/>
                  <w:rFonts w:ascii="arial" w:hAnsi="arial"/>
                  <w:sz w:val="20"/>
                </w:rPr>
                <w:t>Post-Termination Compensation</w:t>
              </w:r>
            </w:hyperlink>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65</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12">
              <w:r>
                <w:rPr>
                  <w:rStyle w:val="InternetLink"/>
                  <w:rFonts w:ascii="arial" w:hAnsi="arial"/>
                  <w:sz w:val="20"/>
                </w:rPr>
                <w:t>Our Goals</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55</w:t>
            </w:r>
          </w:p>
        </w:tc>
        <w:tc>
          <w:tcPr>
            <w:tcW w:w="60" w:type="dxa"/>
            <w:tcBorders/>
            <w:vAlign w:val="center"/>
          </w:tcPr>
          <w:p>
            <w:pPr>
              <w:pStyle w:val="TableContents"/>
              <w:bidi w:val="0"/>
              <w:spacing w:before="0" w:after="283"/>
              <w:jc w:val="left"/>
              <w:rPr/>
            </w:pPr>
            <w:r>
              <w:rPr/>
              <w:t> </w:t>
            </w:r>
          </w:p>
        </w:tc>
        <w:tc>
          <w:tcPr>
            <w:tcW w:w="4555" w:type="dxa"/>
            <w:tcBorders/>
            <w:vAlign w:val="center"/>
          </w:tcPr>
          <w:p>
            <w:pPr>
              <w:pStyle w:val="TableContents"/>
              <w:bidi w:val="0"/>
              <w:spacing w:before="0" w:after="0"/>
              <w:jc w:val="left"/>
              <w:rPr/>
            </w:pPr>
            <w:r>
              <w:rPr>
                <w:color w:val="1F295C"/>
              </w:rPr>
              <w:t>◾</w:t>
            </w:r>
            <w:r>
              <w:rPr/>
              <w:t>  </w:t>
            </w:r>
            <w:hyperlink w:anchor="txc849638_28">
              <w:r>
                <w:rPr>
                  <w:rStyle w:val="InternetLink"/>
                  <w:rFonts w:ascii="arial" w:hAnsi="arial"/>
                  <w:sz w:val="20"/>
                </w:rPr>
                <w:t>Retirement Benefits</w:t>
              </w:r>
            </w:hyperlink>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65</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13">
              <w:r>
                <w:rPr>
                  <w:rStyle w:val="InternetLink"/>
                  <w:rFonts w:ascii="arial" w:hAnsi="arial"/>
                  <w:sz w:val="20"/>
                </w:rPr>
                <w:t>Our Guiding Principles</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56</w:t>
            </w:r>
          </w:p>
        </w:tc>
        <w:tc>
          <w:tcPr>
            <w:tcW w:w="60" w:type="dxa"/>
            <w:tcBorders/>
            <w:vAlign w:val="center"/>
          </w:tcPr>
          <w:p>
            <w:pPr>
              <w:pStyle w:val="TableContents"/>
              <w:bidi w:val="0"/>
              <w:spacing w:before="0" w:after="283"/>
              <w:jc w:val="left"/>
              <w:rPr/>
            </w:pPr>
            <w:r>
              <w:rPr/>
              <w:t> </w:t>
            </w:r>
          </w:p>
        </w:tc>
        <w:tc>
          <w:tcPr>
            <w:tcW w:w="4555" w:type="dxa"/>
            <w:tcBorders/>
            <w:vAlign w:val="center"/>
          </w:tcPr>
          <w:p>
            <w:pPr>
              <w:pStyle w:val="TableContents"/>
              <w:bidi w:val="0"/>
              <w:spacing w:before="0" w:after="0"/>
              <w:jc w:val="left"/>
              <w:rPr/>
            </w:pPr>
            <w:r>
              <w:rPr>
                <w:color w:val="1F295C"/>
              </w:rPr>
              <w:t>◾</w:t>
            </w:r>
            <w:r>
              <w:rPr/>
              <w:t>  </w:t>
            </w:r>
            <w:hyperlink w:anchor="txc849638_29">
              <w:r>
                <w:rPr>
                  <w:rStyle w:val="InternetLink"/>
                  <w:rFonts w:ascii="arial" w:hAnsi="arial"/>
                  <w:sz w:val="20"/>
                </w:rPr>
                <w:t>Equity Grant Practices</w:t>
              </w:r>
            </w:hyperlink>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66</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14">
              <w:r>
                <w:rPr>
                  <w:rStyle w:val="InternetLink"/>
                  <w:rFonts w:ascii="arial" w:hAnsi="arial"/>
                  <w:sz w:val="20"/>
                </w:rPr>
                <w:t>Our Process</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56</w:t>
            </w:r>
          </w:p>
        </w:tc>
        <w:tc>
          <w:tcPr>
            <w:tcW w:w="60" w:type="dxa"/>
            <w:tcBorders/>
            <w:vAlign w:val="center"/>
          </w:tcPr>
          <w:p>
            <w:pPr>
              <w:pStyle w:val="TableContents"/>
              <w:bidi w:val="0"/>
              <w:spacing w:before="0" w:after="283"/>
              <w:jc w:val="left"/>
              <w:rPr/>
            </w:pPr>
            <w:r>
              <w:rPr/>
              <w:t> </w:t>
            </w:r>
          </w:p>
        </w:tc>
        <w:tc>
          <w:tcPr>
            <w:tcW w:w="4555" w:type="dxa"/>
            <w:tcBorders/>
            <w:vAlign w:val="center"/>
          </w:tcPr>
          <w:p>
            <w:pPr>
              <w:pStyle w:val="TableContents"/>
              <w:bidi w:val="0"/>
              <w:spacing w:before="0" w:after="0"/>
              <w:jc w:val="left"/>
              <w:rPr/>
            </w:pPr>
            <w:r>
              <w:rPr>
                <w:color w:val="1F295C"/>
              </w:rPr>
              <w:t>◾</w:t>
            </w:r>
            <w:r>
              <w:rPr/>
              <w:t>  </w:t>
            </w:r>
            <w:hyperlink w:anchor="txc849638_30">
              <w:r>
                <w:rPr>
                  <w:rStyle w:val="InternetLink"/>
                  <w:rFonts w:ascii="arial" w:hAnsi="arial"/>
                  <w:sz w:val="20"/>
                </w:rPr>
                <w:t>Taxes</w:t>
              </w:r>
            </w:hyperlink>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66</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15">
              <w:r>
                <w:rPr>
                  <w:rStyle w:val="InternetLink"/>
                  <w:rFonts w:ascii="arial" w:hAnsi="arial"/>
                  <w:sz w:val="20"/>
                </w:rPr>
                <w:t>Competitive Positioning</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57</w:t>
            </w:r>
          </w:p>
        </w:tc>
        <w:tc>
          <w:tcPr>
            <w:tcW w:w="60" w:type="dxa"/>
            <w:tcBorders/>
            <w:vAlign w:val="center"/>
          </w:tcPr>
          <w:p>
            <w:pPr>
              <w:pStyle w:val="TableContents"/>
              <w:bidi w:val="0"/>
              <w:spacing w:before="0" w:after="283"/>
              <w:jc w:val="left"/>
              <w:rPr/>
            </w:pPr>
            <w:r>
              <w:rPr/>
              <w:t> </w:t>
            </w:r>
          </w:p>
        </w:tc>
        <w:tc>
          <w:tcPr>
            <w:tcW w:w="4555" w:type="dxa"/>
            <w:tcBorders/>
            <w:vAlign w:val="center"/>
          </w:tcPr>
          <w:p>
            <w:pPr>
              <w:pStyle w:val="TableContents"/>
              <w:bidi w:val="0"/>
              <w:spacing w:before="0" w:after="0"/>
              <w:jc w:val="left"/>
              <w:rPr/>
            </w:pPr>
            <w:r>
              <w:rPr>
                <w:color w:val="1F295C"/>
              </w:rPr>
              <w:t>◾</w:t>
            </w:r>
            <w:r>
              <w:rPr/>
              <w:t>  </w:t>
            </w:r>
            <w:hyperlink w:anchor="txc849638_31">
              <w:r>
                <w:rPr>
                  <w:rStyle w:val="InternetLink"/>
                  <w:rFonts w:ascii="arial" w:hAnsi="arial"/>
                  <w:sz w:val="20"/>
                </w:rPr>
                <w:t>Stock Ownership Policy</w:t>
              </w:r>
            </w:hyperlink>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66</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jc w:val="left"/>
              <w:rPr/>
            </w:pPr>
            <w:r>
              <w:rPr>
                <w:color w:val="1F295C"/>
              </w:rPr>
              <w:t>◾</w:t>
            </w:r>
            <w:r>
              <w:rPr/>
              <w:t>  </w:t>
            </w:r>
            <w:hyperlink w:anchor="txc849638_16">
              <w:r>
                <w:rPr>
                  <w:rStyle w:val="InternetLink"/>
                  <w:rFonts w:ascii="arial" w:hAnsi="arial"/>
                  <w:sz w:val="20"/>
                </w:rPr>
                <w:t>Advisory Stock Vote</w:t>
              </w:r>
            </w:hyperlink>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center"/>
              <w:rPr/>
            </w:pPr>
            <w:r>
              <w:rPr/>
              <w:t>58</w:t>
            </w:r>
          </w:p>
        </w:tc>
        <w:tc>
          <w:tcPr>
            <w:tcW w:w="60" w:type="dxa"/>
            <w:tcBorders/>
            <w:vAlign w:val="center"/>
          </w:tcPr>
          <w:p>
            <w:pPr>
              <w:pStyle w:val="TableContents"/>
              <w:bidi w:val="0"/>
              <w:spacing w:before="0" w:after="283"/>
              <w:jc w:val="left"/>
              <w:rPr/>
            </w:pPr>
            <w:r>
              <w:rPr/>
              <w:t> </w:t>
            </w:r>
          </w:p>
        </w:tc>
        <w:tc>
          <w:tcPr>
            <w:tcW w:w="4555" w:type="dxa"/>
            <w:tcBorders/>
            <w:vAlign w:val="center"/>
          </w:tcPr>
          <w:p>
            <w:pPr>
              <w:pStyle w:val="TableContents"/>
              <w:bidi w:val="0"/>
              <w:spacing w:before="0" w:after="0"/>
              <w:jc w:val="left"/>
              <w:rPr/>
            </w:pPr>
            <w:r>
              <w:rPr>
                <w:color w:val="1F295C"/>
              </w:rPr>
              <w:t>◾</w:t>
            </w:r>
            <w:r>
              <w:rPr/>
              <w:t>  </w:t>
            </w:r>
            <w:hyperlink w:anchor="txc849638_32">
              <w:r>
                <w:rPr>
                  <w:rStyle w:val="InternetLink"/>
                  <w:rFonts w:ascii="arial" w:hAnsi="arial"/>
                  <w:sz w:val="20"/>
                </w:rPr>
                <w:t>Clawback Policies</w:t>
              </w:r>
            </w:hyperlink>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67</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c>
          <w:tcPr>
            <w:tcW w:w="793" w:type="dxa"/>
            <w:gridSpan w:val="2"/>
            <w:tcBorders/>
            <w:vAlign w:val="center"/>
          </w:tcPr>
          <w:p>
            <w:pPr>
              <w:pStyle w:val="TableContents"/>
              <w:bidi w:val="0"/>
              <w:spacing w:before="0" w:after="283"/>
              <w:jc w:val="left"/>
              <w:rPr>
                <w:sz w:val="4"/>
                <w:szCs w:val="4"/>
              </w:rPr>
            </w:pPr>
            <w:r>
              <w:rPr>
                <w:sz w:val="4"/>
                <w:szCs w:val="4"/>
              </w:rPr>
            </w:r>
          </w:p>
        </w:tc>
      </w:tr>
      <w:tr>
        <w:trPr/>
        <w:tc>
          <w:tcPr>
            <w:tcW w:w="4021" w:type="dxa"/>
            <w:tcBorders>
              <w:bottom w:val="single" w:sz="12" w:space="0" w:color="1070B8"/>
            </w:tcBorders>
            <w:tcMar>
              <w:bottom w:w="40" w:type="dxa"/>
            </w:tcMar>
            <w:vAlign w:val="center"/>
          </w:tcPr>
          <w:p>
            <w:pPr>
              <w:pStyle w:val="TableContents"/>
              <w:bidi w:val="0"/>
              <w:spacing w:before="0" w:after="0"/>
              <w:jc w:val="left"/>
              <w:rPr/>
            </w:pPr>
            <w:r>
              <w:rPr>
                <w:color w:val="1F295C"/>
              </w:rPr>
              <w:t>◾</w:t>
            </w:r>
            <w:r>
              <w:rPr/>
              <w:t>  </w:t>
            </w:r>
            <w:hyperlink w:anchor="txc849638_17">
              <w:r>
                <w:rPr>
                  <w:rStyle w:val="InternetLink"/>
                  <w:rFonts w:ascii="arial" w:hAnsi="arial"/>
                  <w:sz w:val="20"/>
                </w:rPr>
                <w:t>Risk Management</w:t>
              </w:r>
            </w:hyperlink>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716" w:type="dxa"/>
            <w:tcBorders>
              <w:bottom w:val="single" w:sz="12" w:space="0" w:color="1070B8"/>
            </w:tcBorders>
            <w:tcMar>
              <w:bottom w:w="40" w:type="dxa"/>
            </w:tcMar>
            <w:vAlign w:val="center"/>
          </w:tcPr>
          <w:p>
            <w:pPr>
              <w:pStyle w:val="TableContents"/>
              <w:bidi w:val="0"/>
              <w:spacing w:before="0" w:after="283"/>
              <w:jc w:val="center"/>
              <w:rPr/>
            </w:pPr>
            <w:r>
              <w:rPr/>
              <w:t>58</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4555" w:type="dxa"/>
            <w:tcBorders>
              <w:bottom w:val="single" w:sz="12" w:space="0" w:color="1070B8"/>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733" w:type="dxa"/>
            <w:tcBorders>
              <w:bottom w:val="single" w:sz="12" w:space="0" w:color="1070B8"/>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60" w:name="toc849638_61a"/>
      <w:bookmarkEnd w:id="60"/>
      <w:r>
        <w:rPr>
          <w:rFonts w:ascii="arial" w:hAnsi="arial"/>
          <w:b/>
          <w:color w:val="1F295C"/>
          <w:sz w:val="24"/>
        </w:rPr>
        <w:t xml:space="preserve">Section 1 – Executive Summary </w:t>
      </w:r>
    </w:p>
    <w:p>
      <w:pPr>
        <w:pStyle w:val="TextBody"/>
        <w:bidi w:val="0"/>
        <w:spacing w:before="240" w:after="0"/>
        <w:jc w:val="left"/>
        <w:rPr>
          <w:rFonts w:ascii="arial" w:hAnsi="arial"/>
          <w:color w:val="1070B8"/>
          <w:sz w:val="24"/>
        </w:rPr>
      </w:pPr>
      <w:bookmarkStart w:id="61" w:name="txc849638_1"/>
      <w:bookmarkEnd w:id="61"/>
      <w:r>
        <w:rPr>
          <w:rFonts w:ascii="arial" w:hAnsi="arial"/>
          <w:color w:val="1070B8"/>
          <w:sz w:val="24"/>
        </w:rPr>
        <w:t xml:space="preserve">Our Growth Strategy </w:t>
      </w:r>
    </w:p>
    <w:p>
      <w:pPr>
        <w:pStyle w:val="TextBody"/>
        <w:bidi w:val="0"/>
        <w:spacing w:before="240" w:after="0"/>
        <w:jc w:val="left"/>
        <w:rPr>
          <w:rFonts w:ascii="arial" w:hAnsi="arial"/>
          <w:sz w:val="20"/>
        </w:rPr>
      </w:pPr>
      <w:r>
        <w:rPr>
          <w:rFonts w:ascii="arial" w:hAnsi="arial"/>
          <w:sz w:val="20"/>
        </w:rPr>
        <w:t xml:space="preserve">We are focused on diversifying our products and services, broadening our mix of end market exposure and expanding our geographic footprint. Our growth strategy includes acquisition of residential and commercial installers in new markets, acquisitions of businesses offering complementary products, introduction of new product offerings in existing markets, pursuit of new product categories in commercial markets, and expanding our multi-family sales in existing branches. </w:t>
      </w:r>
    </w:p>
    <w:p>
      <w:pPr>
        <w:pStyle w:val="TextBody"/>
        <w:bidi w:val="0"/>
        <w:spacing w:before="240" w:after="0"/>
        <w:jc w:val="left"/>
        <w:rPr>
          <w:rFonts w:ascii="arial" w:hAnsi="arial"/>
          <w:sz w:val="20"/>
        </w:rPr>
      </w:pPr>
      <w:r>
        <w:rPr>
          <w:rFonts w:ascii="arial" w:hAnsi="arial"/>
          <w:sz w:val="20"/>
        </w:rPr>
        <w:t xml:space="preserve">In February 2024, we celebrated ten years as a publicly traded company. At the time of our public offering in 2014, we had approximately 3,200 employees, and we estimate that we had a national residential insulation market share of approximately 16%. We currently have approximately 10,800 employees and we estimate that we service approximately 30% of the residential insulation market. During our ten year history as a public company, we have a demonstrated record of success for each of our growth strategies: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color w:val="1070B8"/>
                <w:sz w:val="20"/>
              </w:rPr>
              <w:t>Product diversification</w:t>
            </w:r>
            <w:r>
              <w:rPr>
                <w:rFonts w:ascii="arial" w:hAnsi="arial"/>
                <w:sz w:val="20"/>
              </w:rPr>
              <w:t xml:space="preserve"> - Revenue from insulation installation services represented approximately 76% of our total revenues in 2014 compared to 60%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color w:val="1070B8"/>
                <w:sz w:val="20"/>
              </w:rPr>
              <w:t>End market diversification</w:t>
            </w:r>
            <w:r>
              <w:rPr>
                <w:rFonts w:ascii="arial" w:hAnsi="arial"/>
                <w:sz w:val="20"/>
              </w:rPr>
              <w:t xml:space="preserve"> - We have decreased our single family residential new construction end market exposure from 73% in 2014 to 57% in 2024.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200"/>
        <w:gridCol w:w="60"/>
        <w:gridCol w:w="77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arial" w:hAnsi="arial"/>
                <w:sz w:val="20"/>
              </w:rPr>
            </w:pPr>
            <w:r>
              <w:rPr>
                <w:rFonts w:ascii="arial" w:hAnsi="arial"/>
                <w:color w:val="1070B8"/>
                <w:sz w:val="20"/>
              </w:rPr>
              <w:t>Geographic expansion</w:t>
            </w:r>
            <w:r>
              <w:rPr>
                <w:rFonts w:ascii="arial" w:hAnsi="arial"/>
                <w:sz w:val="20"/>
              </w:rPr>
              <w:t xml:space="preserve"> - We have added approximately 150 branch locations since 2014. </w:t>
            </w:r>
          </w:p>
        </w:tc>
      </w:tr>
    </w:tbl>
    <w:p>
      <w:pPr>
        <w:pStyle w:val="TextBody"/>
        <w:bidi w:val="0"/>
        <w:spacing w:before="0" w:after="0"/>
        <w:jc w:val="left"/>
        <w:rPr/>
      </w:pPr>
      <w:r>
        <w:rPr/>
        <w:t> </w:t>
      </w:r>
    </w:p>
    <w:tbl>
      <w:tblPr>
        <w:tblW w:w="11635" w:type="dxa"/>
        <w:jc w:val="left"/>
        <w:tblInd w:w="0" w:type="dxa"/>
        <w:tblLayout w:type="fixed"/>
        <w:tblCellMar>
          <w:top w:w="0" w:type="dxa"/>
          <w:left w:w="0" w:type="dxa"/>
          <w:bottom w:w="0" w:type="dxa"/>
          <w:right w:w="0" w:type="dxa"/>
        </w:tblCellMar>
      </w:tblPr>
      <w:tblGrid>
        <w:gridCol w:w="800"/>
        <w:gridCol w:w="60"/>
        <w:gridCol w:w="60"/>
        <w:gridCol w:w="60"/>
        <w:gridCol w:w="5130"/>
        <w:gridCol w:w="60"/>
        <w:gridCol w:w="260"/>
        <w:gridCol w:w="60"/>
        <w:gridCol w:w="5145"/>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45"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90" w:type="dxa"/>
            <w:gridSpan w:val="2"/>
            <w:tcBorders/>
            <w:shd w:fill="1F295C"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5205" w:type="dxa"/>
            <w:gridSpan w:val="2"/>
            <w:tcBorders/>
            <w:shd w:fill="1F295C"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1F295C" w:val="clear"/>
            <w:vAlign w:val="center"/>
          </w:tcPr>
          <w:p>
            <w:pPr>
              <w:pStyle w:val="TableContents"/>
              <w:bidi w:val="0"/>
              <w:spacing w:before="0" w:after="283"/>
              <w:jc w:val="left"/>
              <w:rPr/>
            </w:pPr>
            <w:r>
              <w:rPr/>
              <w:t> </w:t>
            </w:r>
          </w:p>
        </w:tc>
        <w:tc>
          <w:tcPr>
            <w:tcW w:w="5130" w:type="dxa"/>
            <w:tcBorders/>
            <w:shd w:fill="1F295C" w:val="clear"/>
            <w:vAlign w:val="center"/>
          </w:tcPr>
          <w:p>
            <w:pPr>
              <w:pStyle w:val="TableContents"/>
              <w:bidi w:val="0"/>
              <w:spacing w:before="0" w:after="283"/>
              <w:jc w:val="center"/>
              <w:rPr>
                <w:b/>
                <w:color w:val="FFFFFF"/>
              </w:rPr>
            </w:pPr>
            <w:r>
              <w:rPr>
                <w:b/>
                <w:color w:val="FFFFFF"/>
              </w:rPr>
              <w:t>2014</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60" w:type="dxa"/>
            <w:tcBorders/>
            <w:shd w:fill="1F295C" w:val="clear"/>
            <w:vAlign w:val="center"/>
          </w:tcPr>
          <w:p>
            <w:pPr>
              <w:pStyle w:val="TableContents"/>
              <w:bidi w:val="0"/>
              <w:spacing w:before="0" w:after="283"/>
              <w:jc w:val="left"/>
              <w:rPr/>
            </w:pPr>
            <w:r>
              <w:rPr/>
              <w:t> </w:t>
            </w:r>
          </w:p>
        </w:tc>
        <w:tc>
          <w:tcPr>
            <w:tcW w:w="5145" w:type="dxa"/>
            <w:tcBorders/>
            <w:shd w:fill="1F295C" w:val="clear"/>
            <w:vAlign w:val="center"/>
          </w:tcPr>
          <w:p>
            <w:pPr>
              <w:pStyle w:val="TableContents"/>
              <w:bidi w:val="0"/>
              <w:spacing w:before="0" w:after="283"/>
              <w:jc w:val="center"/>
              <w:rPr>
                <w:b/>
                <w:color w:val="FFFFFF"/>
              </w:rPr>
            </w:pPr>
            <w:r>
              <w:rPr>
                <w:b/>
                <w:color w:val="FFFFFF"/>
              </w:rPr>
              <w:t>2024</w:t>
            </w:r>
          </w:p>
        </w:tc>
      </w:tr>
      <w:tr>
        <w:trPr/>
        <w:tc>
          <w:tcPr>
            <w:tcW w:w="800" w:type="dxa"/>
            <w:tcBorders/>
            <w:shd w:fill="2CB5E8"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9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5205" w:type="dxa"/>
            <w:gridSpan w:val="2"/>
            <w:tcBorders/>
            <w:vAlign w:val="center"/>
          </w:tcPr>
          <w:p>
            <w:pPr>
              <w:pStyle w:val="TableContents"/>
              <w:bidi w:val="0"/>
              <w:spacing w:before="0" w:after="283"/>
              <w:jc w:val="left"/>
              <w:rPr>
                <w:sz w:val="4"/>
                <w:szCs w:val="4"/>
              </w:rPr>
            </w:pPr>
            <w:r>
              <w:rPr>
                <w:sz w:val="4"/>
                <w:szCs w:val="4"/>
              </w:rPr>
            </w:r>
          </w:p>
        </w:tc>
      </w:tr>
      <w:tr>
        <w:trPr/>
        <w:tc>
          <w:tcPr>
            <w:tcW w:w="800" w:type="dxa"/>
            <w:tcBorders/>
            <w:shd w:fill="2CB5E8"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Revenue </w:t>
            </w:r>
          </w:p>
          <w:p>
            <w:pPr>
              <w:pStyle w:val="TableContents"/>
              <w:bidi w:val="0"/>
              <w:spacing w:before="0" w:after="0"/>
              <w:jc w:val="center"/>
              <w:rPr>
                <w:rFonts w:ascii="arial" w:hAnsi="arial"/>
                <w:b/>
                <w:color w:val="FFFFFF"/>
                <w:sz w:val="18"/>
              </w:rPr>
            </w:pPr>
            <w:r>
              <w:rPr>
                <w:rFonts w:ascii="arial" w:hAnsi="arial"/>
                <w:b/>
                <w:color w:val="FFFFFF"/>
                <w:sz w:val="18"/>
              </w:rPr>
              <w:t>by </w:t>
            </w:r>
          </w:p>
          <w:p>
            <w:pPr>
              <w:pStyle w:val="TableContents"/>
              <w:bidi w:val="0"/>
              <w:spacing w:before="0" w:after="20"/>
              <w:jc w:val="center"/>
              <w:rPr>
                <w:rFonts w:ascii="arial" w:hAnsi="arial"/>
                <w:b/>
                <w:color w:val="FFFFFF"/>
                <w:sz w:val="18"/>
              </w:rPr>
            </w:pPr>
            <w:r>
              <w:rPr>
                <w:rFonts w:ascii="arial" w:hAnsi="arial"/>
                <w:b/>
                <w:color w:val="FFFFFF"/>
                <w:sz w:val="18"/>
              </w:rPr>
              <w:t>Product 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257550" cy="2124075"/>
                  <wp:effectExtent l="0" t="0" r="0" b="0"/>
                  <wp:docPr id="7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9" descr=""/>
                          <pic:cNvPicPr>
                            <a:picLocks noChangeAspect="1" noChangeArrowheads="1"/>
                          </pic:cNvPicPr>
                        </pic:nvPicPr>
                        <pic:blipFill>
                          <a:blip r:embed="rId70"/>
                          <a:stretch>
                            <a:fillRect/>
                          </a:stretch>
                        </pic:blipFill>
                        <pic:spPr bwMode="auto">
                          <a:xfrm>
                            <a:off x="0" y="0"/>
                            <a:ext cx="3257550" cy="21240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45"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257550" cy="2133600"/>
                  <wp:effectExtent l="0" t="0" r="0" b="0"/>
                  <wp:docPr id="7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0" descr=""/>
                          <pic:cNvPicPr>
                            <a:picLocks noChangeAspect="1" noChangeArrowheads="1"/>
                          </pic:cNvPicPr>
                        </pic:nvPicPr>
                        <pic:blipFill>
                          <a:blip r:embed="rId71"/>
                          <a:stretch>
                            <a:fillRect/>
                          </a:stretch>
                        </pic:blipFill>
                        <pic:spPr bwMode="auto">
                          <a:xfrm>
                            <a:off x="0" y="0"/>
                            <a:ext cx="3257550" cy="2133600"/>
                          </a:xfrm>
                          <a:prstGeom prst="rect">
                            <a:avLst/>
                          </a:prstGeom>
                        </pic:spPr>
                      </pic:pic>
                    </a:graphicData>
                  </a:graphic>
                </wp:inline>
              </w:drawing>
            </w:r>
            <w:r>
              <w:rPr/>
              <w:t xml:space="preserve"> </w:t>
            </w:r>
          </w:p>
        </w:tc>
      </w:tr>
      <w:tr>
        <w:trPr/>
        <w:tc>
          <w:tcPr>
            <w:tcW w:w="800" w:type="dxa"/>
            <w:tcBorders/>
            <w:shd w:fill="1070B8"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Revenue </w:t>
            </w:r>
          </w:p>
          <w:p>
            <w:pPr>
              <w:pStyle w:val="TableContents"/>
              <w:bidi w:val="0"/>
              <w:spacing w:before="0" w:after="0"/>
              <w:jc w:val="center"/>
              <w:rPr>
                <w:rFonts w:ascii="arial" w:hAnsi="arial"/>
                <w:b/>
                <w:color w:val="FFFFFF"/>
                <w:sz w:val="18"/>
              </w:rPr>
            </w:pPr>
            <w:r>
              <w:rPr>
                <w:rFonts w:ascii="arial" w:hAnsi="arial"/>
                <w:b/>
                <w:color w:val="FFFFFF"/>
                <w:sz w:val="18"/>
              </w:rPr>
              <w:t>by </w:t>
            </w:r>
          </w:p>
          <w:p>
            <w:pPr>
              <w:pStyle w:val="TableContents"/>
              <w:bidi w:val="0"/>
              <w:spacing w:before="0" w:after="0"/>
              <w:jc w:val="center"/>
              <w:rPr>
                <w:rFonts w:ascii="arial" w:hAnsi="arial"/>
                <w:b/>
                <w:color w:val="FFFFFF"/>
                <w:sz w:val="18"/>
              </w:rPr>
            </w:pPr>
            <w:r>
              <w:rPr>
                <w:rFonts w:ascii="arial" w:hAnsi="arial"/>
                <w:b/>
                <w:color w:val="FFFFFF"/>
                <w:sz w:val="18"/>
              </w:rPr>
              <w:t>End- </w:t>
            </w:r>
          </w:p>
          <w:p>
            <w:pPr>
              <w:pStyle w:val="TableContents"/>
              <w:bidi w:val="0"/>
              <w:spacing w:before="0" w:after="20"/>
              <w:jc w:val="center"/>
              <w:rPr>
                <w:rFonts w:ascii="arial" w:hAnsi="arial"/>
                <w:b/>
                <w:color w:val="FFFFFF"/>
                <w:sz w:val="18"/>
              </w:rPr>
            </w:pPr>
            <w:r>
              <w:rPr>
                <w:rFonts w:ascii="arial" w:hAnsi="arial"/>
                <w:b/>
                <w:color w:val="FFFFFF"/>
                <w:sz w:val="18"/>
              </w:rPr>
              <w:t>Market 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257550" cy="2105025"/>
                  <wp:effectExtent l="0" t="0" r="0" b="0"/>
                  <wp:docPr id="7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1" descr=""/>
                          <pic:cNvPicPr>
                            <a:picLocks noChangeAspect="1" noChangeArrowheads="1"/>
                          </pic:cNvPicPr>
                        </pic:nvPicPr>
                        <pic:blipFill>
                          <a:blip r:embed="rId72"/>
                          <a:stretch>
                            <a:fillRect/>
                          </a:stretch>
                        </pic:blipFill>
                        <pic:spPr bwMode="auto">
                          <a:xfrm>
                            <a:off x="0" y="0"/>
                            <a:ext cx="3257550" cy="21050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45"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257550" cy="2124075"/>
                  <wp:effectExtent l="0" t="0" r="0" b="0"/>
                  <wp:docPr id="7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2" descr=""/>
                          <pic:cNvPicPr>
                            <a:picLocks noChangeAspect="1" noChangeArrowheads="1"/>
                          </pic:cNvPicPr>
                        </pic:nvPicPr>
                        <pic:blipFill>
                          <a:blip r:embed="rId73"/>
                          <a:stretch>
                            <a:fillRect/>
                          </a:stretch>
                        </pic:blipFill>
                        <pic:spPr bwMode="auto">
                          <a:xfrm>
                            <a:off x="0" y="0"/>
                            <a:ext cx="3257550" cy="212407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2835275" cy="1584325"/>
            <wp:effectExtent l="0" t="0" r="0" b="0"/>
            <wp:docPr id="7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3" descr=""/>
                    <pic:cNvPicPr>
                      <a:picLocks noChangeAspect="1" noChangeArrowheads="1"/>
                    </pic:cNvPicPr>
                  </pic:nvPicPr>
                  <pic:blipFill>
                    <a:blip r:embed="rId74"/>
                    <a:stretch>
                      <a:fillRect/>
                    </a:stretch>
                  </pic:blipFill>
                  <pic:spPr bwMode="auto">
                    <a:xfrm>
                      <a:off x="0" y="0"/>
                      <a:ext cx="2835275" cy="1584325"/>
                    </a:xfrm>
                    <a:prstGeom prst="rect">
                      <a:avLst/>
                    </a:prstGeom>
                  </pic:spPr>
                </pic:pic>
              </a:graphicData>
            </a:graphic>
          </wp:inline>
        </w:drawing>
      </w:r>
      <w:r>
        <w:rPr/>
        <w:t xml:space="preserve"> </w:t>
      </w:r>
    </w:p>
    <w:p>
      <w:pPr>
        <w:pStyle w:val="TextBody"/>
        <w:bidi w:val="0"/>
        <w:spacing w:before="240" w:after="0"/>
        <w:jc w:val="left"/>
        <w:rPr>
          <w:rFonts w:ascii="arial" w:hAnsi="arial"/>
          <w:color w:val="1070B8"/>
          <w:sz w:val="24"/>
        </w:rPr>
      </w:pPr>
      <w:bookmarkStart w:id="62" w:name="txc849638_2"/>
      <w:bookmarkEnd w:id="62"/>
      <w:r>
        <w:rPr>
          <w:rFonts w:ascii="arial" w:hAnsi="arial"/>
          <w:color w:val="1070B8"/>
          <w:sz w:val="24"/>
        </w:rPr>
        <w:t xml:space="preserve">Our Capital Allocation Strategy </w:t>
      </w:r>
    </w:p>
    <w:p>
      <w:pPr>
        <w:pStyle w:val="TextBody"/>
        <w:bidi w:val="0"/>
        <w:spacing w:before="240" w:after="0"/>
        <w:jc w:val="left"/>
        <w:rPr>
          <w:rFonts w:ascii="arial" w:hAnsi="arial"/>
          <w:sz w:val="20"/>
        </w:rPr>
      </w:pPr>
      <w:r>
        <w:rPr>
          <w:rFonts w:ascii="arial" w:hAnsi="arial"/>
          <w:sz w:val="20"/>
        </w:rPr>
        <w:t xml:space="preserve">Our capital allocation priorities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Acquisitions, which contribute to our profitability and anchor our growth strategies of product, end market and geographic diversification, and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Quarterly and annual variable dividends and opportunistic share repurchases, which provide direct returns to our stockholders. </w:t>
            </w:r>
          </w:p>
        </w:tc>
      </w:tr>
    </w:tbl>
    <w:p>
      <w:pPr>
        <w:pStyle w:val="TextBody"/>
        <w:bidi w:val="0"/>
        <w:spacing w:before="240" w:after="0"/>
        <w:jc w:val="left"/>
        <w:rPr>
          <w:rFonts w:ascii="arial" w:hAnsi="arial"/>
          <w:sz w:val="20"/>
        </w:rPr>
      </w:pPr>
      <w:r>
        <w:rPr>
          <w:rFonts w:ascii="arial" w:hAnsi="arial"/>
          <w:sz w:val="20"/>
        </w:rPr>
        <w:t xml:space="preserve">In 2024, we acquired nine businesses with revenues exceeding $100 million, which expanded our geographic presence in attractive housing markets. We returned a record $230 million to stockholders, including quarterly and variable dividends of $85 million and stock repurchases of $145 million.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2496820" cy="2287270"/>
            <wp:effectExtent l="0" t="0" r="0" b="0"/>
            <wp:docPr id="7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4" descr=""/>
                    <pic:cNvPicPr>
                      <a:picLocks noChangeAspect="1" noChangeArrowheads="1"/>
                    </pic:cNvPicPr>
                  </pic:nvPicPr>
                  <pic:blipFill>
                    <a:blip r:embed="rId75"/>
                    <a:stretch>
                      <a:fillRect/>
                    </a:stretch>
                  </pic:blipFill>
                  <pic:spPr bwMode="auto">
                    <a:xfrm>
                      <a:off x="0" y="0"/>
                      <a:ext cx="2496820" cy="22872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1070B8"/>
          <w:sz w:val="22"/>
        </w:rPr>
      </w:pPr>
      <w:bookmarkStart w:id="63" w:name="txc849638_3"/>
      <w:bookmarkEnd w:id="63"/>
      <w:r>
        <w:rPr>
          <w:rFonts w:ascii="arial" w:hAnsi="arial"/>
          <w:color w:val="1070B8"/>
          <w:sz w:val="22"/>
        </w:rPr>
        <w:t xml:space="preserve">Our Acquisition Strategy </w:t>
      </w:r>
    </w:p>
    <w:p>
      <w:pPr>
        <w:pStyle w:val="TextBody"/>
        <w:bidi w:val="0"/>
        <w:spacing w:before="240" w:after="0"/>
        <w:jc w:val="left"/>
        <w:rPr>
          <w:rFonts w:ascii="arial" w:hAnsi="arial"/>
          <w:sz w:val="20"/>
        </w:rPr>
      </w:pPr>
      <w:r>
        <w:rPr>
          <w:rFonts w:ascii="arial" w:hAnsi="arial"/>
          <w:sz w:val="20"/>
        </w:rPr>
        <w:t xml:space="preserve">In the 1990s, we began our acquisition strategy with the goal of creating a national platform and have since grown, by our estimate, to become one of the nation’s largest installers of insulation in the residential new construction end market. Since 1999, we have successfully completed and integrated over 200 acquisitions, which have expanded our scale and market presence and diversified our product offerings and end market exposures. Our asset-light model generates substantial operating cash flow, which supports further acquisition growth. In 2024, we successfully acquired and integrated nine businesses representing more than $100 million in aggregate annual revenues. </w:t>
      </w:r>
    </w:p>
    <w:p>
      <w:pPr>
        <w:pStyle w:val="TextBody"/>
        <w:bidi w:val="0"/>
        <w:spacing w:before="0" w:after="0"/>
        <w:jc w:val="left"/>
        <w:rPr/>
      </w:pPr>
      <w:r>
        <w:rPr/>
        <w:t> </w:t>
      </w:r>
    </w:p>
    <w:tbl>
      <w:tblPr>
        <w:tblW w:w="9939" w:type="dxa"/>
        <w:jc w:val="left"/>
        <w:tblInd w:w="0" w:type="dxa"/>
        <w:tblLayout w:type="fixed"/>
        <w:tblCellMar>
          <w:top w:w="0" w:type="dxa"/>
          <w:left w:w="0" w:type="dxa"/>
          <w:bottom w:w="0" w:type="dxa"/>
          <w:right w:w="0" w:type="dxa"/>
        </w:tblCellMar>
      </w:tblPr>
      <w:tblGrid>
        <w:gridCol w:w="5735"/>
        <w:gridCol w:w="60"/>
        <w:gridCol w:w="4144"/>
      </w:tblGrid>
      <w:tr>
        <w:trPr/>
        <w:tc>
          <w:tcPr>
            <w:tcW w:w="5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5735" w:type="dxa"/>
            <w:tcBorders/>
            <w:vAlign w:val="center"/>
          </w:tcPr>
          <w:p>
            <w:pPr>
              <w:pStyle w:val="TableContents"/>
              <w:bidi w:val="0"/>
              <w:spacing w:before="0" w:after="0"/>
              <w:jc w:val="left"/>
              <w:rPr/>
            </w:pPr>
            <w:r>
              <w:rPr>
                <w:color w:val="1F295C"/>
              </w:rPr>
              <w:t>◾</w:t>
            </w:r>
            <w:r>
              <w:rPr/>
              <w:t>  </w:t>
            </w:r>
            <w:r>
              <w:rPr>
                <w:rFonts w:ascii="arial" w:hAnsi="arial"/>
                <w:sz w:val="20"/>
              </w:rPr>
              <w:t>Keys to our acquisition approach</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Target profitable markets and outstanding operators</w:t>
            </w:r>
          </w:p>
          <w:p>
            <w:pPr>
              <w:pStyle w:val="TableContents"/>
              <w:bidi w:val="0"/>
              <w:spacing w:before="0" w:after="0"/>
              <w:jc w:val="left"/>
              <w:rPr/>
            </w:pPr>
            <w:r>
              <w:rPr/>
              <w:t> </w:t>
            </w:r>
          </w:p>
          <w:p>
            <w:pPr>
              <w:pStyle w:val="TableContents"/>
              <w:bidi w:val="0"/>
              <w:spacing w:before="0" w:after="0"/>
              <w:jc w:val="left"/>
              <w:rPr/>
            </w:pPr>
            <w:r>
              <w:rPr>
                <w:color w:val="1F295C"/>
              </w:rPr>
              <w:t>✓</w:t>
            </w:r>
            <w:r>
              <w:rPr/>
              <w:t xml:space="preserve"> </w:t>
            </w:r>
            <w:r>
              <w:rPr>
                <w:rFonts w:ascii="arial" w:hAnsi="arial"/>
                <w:sz w:val="20"/>
              </w:rPr>
              <w:t>Acquire operations with a strong reputation and customer base</w:t>
            </w:r>
          </w:p>
          <w:p>
            <w:pPr>
              <w:pStyle w:val="TableContents"/>
              <w:bidi w:val="0"/>
              <w:spacing w:before="0" w:after="0"/>
              <w:jc w:val="left"/>
              <w:rPr/>
            </w:pPr>
            <w:r>
              <w:rPr/>
              <w:t> </w:t>
            </w:r>
          </w:p>
          <w:p>
            <w:pPr>
              <w:pStyle w:val="TableContents"/>
              <w:bidi w:val="0"/>
              <w:spacing w:before="0" w:after="0"/>
              <w:jc w:val="left"/>
              <w:rPr/>
            </w:pPr>
            <w:r>
              <w:rPr>
                <w:color w:val="1F295C"/>
              </w:rPr>
              <w:t>✓</w:t>
            </w:r>
            <w:r>
              <w:rPr/>
              <w:t xml:space="preserve"> </w:t>
            </w:r>
            <w:r>
              <w:rPr>
                <w:rFonts w:ascii="arial" w:hAnsi="arial"/>
                <w:sz w:val="20"/>
              </w:rPr>
              <w:t>Maintain existing management teams and trade names</w:t>
            </w:r>
          </w:p>
          <w:p>
            <w:pPr>
              <w:pStyle w:val="TableContents"/>
              <w:bidi w:val="0"/>
              <w:spacing w:before="0" w:after="0"/>
              <w:jc w:val="left"/>
              <w:rPr/>
            </w:pPr>
            <w:r>
              <w:rPr/>
              <w:t> </w:t>
            </w:r>
          </w:p>
          <w:p>
            <w:pPr>
              <w:pStyle w:val="TableContents"/>
              <w:bidi w:val="0"/>
              <w:spacing w:before="0" w:after="0"/>
              <w:jc w:val="left"/>
              <w:rPr/>
            </w:pPr>
            <w:r>
              <w:rPr>
                <w:color w:val="1F295C"/>
              </w:rPr>
              <w:t>✓</w:t>
            </w:r>
            <w:r>
              <w:rPr/>
              <w:t xml:space="preserve"> </w:t>
            </w:r>
            <w:r>
              <w:rPr>
                <w:rFonts w:ascii="arial" w:hAnsi="arial"/>
                <w:sz w:val="20"/>
              </w:rPr>
              <w:t>Leverage national buying power</w:t>
            </w:r>
          </w:p>
          <w:p>
            <w:pPr>
              <w:pStyle w:val="TableContents"/>
              <w:bidi w:val="0"/>
              <w:spacing w:before="0" w:after="0"/>
              <w:jc w:val="left"/>
              <w:rPr/>
            </w:pPr>
            <w:r>
              <w:rPr/>
              <w:t> </w:t>
            </w:r>
          </w:p>
          <w:p>
            <w:pPr>
              <w:pStyle w:val="TableContents"/>
              <w:bidi w:val="0"/>
              <w:spacing w:before="0" w:after="20"/>
              <w:jc w:val="left"/>
              <w:rPr/>
            </w:pPr>
            <w:r>
              <w:rPr>
                <w:color w:val="1F295C"/>
              </w:rPr>
              <w:t>✓</w:t>
            </w:r>
            <w:r>
              <w:rPr/>
              <w:t xml:space="preserve"> </w:t>
            </w:r>
            <w:r>
              <w:rPr>
                <w:rFonts w:ascii="arial" w:hAnsi="arial"/>
                <w:sz w:val="20"/>
              </w:rPr>
              <w:t>Leverage relationships with national homebuilders</w:t>
            </w:r>
          </w:p>
        </w:tc>
        <w:tc>
          <w:tcPr>
            <w:tcW w:w="60" w:type="dxa"/>
            <w:tcBorders/>
            <w:vAlign w:val="center"/>
          </w:tcPr>
          <w:p>
            <w:pPr>
              <w:pStyle w:val="TableContents"/>
              <w:bidi w:val="0"/>
              <w:spacing w:before="0" w:after="283"/>
              <w:jc w:val="left"/>
              <w:rPr/>
            </w:pPr>
            <w:r>
              <w:rPr/>
              <w:t> </w:t>
            </w:r>
          </w:p>
        </w:tc>
        <w:tc>
          <w:tcPr>
            <w:tcW w:w="4144" w:type="dxa"/>
            <w:tcBorders/>
            <w:vAlign w:val="center"/>
          </w:tcPr>
          <w:p>
            <w:pPr>
              <w:pStyle w:val="TableContents"/>
              <w:bidi w:val="0"/>
              <w:spacing w:before="0" w:after="283"/>
              <w:jc w:val="center"/>
              <w:rPr/>
            </w:pPr>
            <w:r>
              <w:rPr/>
              <w:drawing>
                <wp:inline distT="0" distB="0" distL="0" distR="0">
                  <wp:extent cx="2583815" cy="1966595"/>
                  <wp:effectExtent l="0" t="0" r="0" b="0"/>
                  <wp:docPr id="7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5" descr=""/>
                          <pic:cNvPicPr>
                            <a:picLocks noChangeAspect="1" noChangeArrowheads="1"/>
                          </pic:cNvPicPr>
                        </pic:nvPicPr>
                        <pic:blipFill>
                          <a:blip r:embed="rId76"/>
                          <a:stretch>
                            <a:fillRect/>
                          </a:stretch>
                        </pic:blipFill>
                        <pic:spPr bwMode="auto">
                          <a:xfrm>
                            <a:off x="0" y="0"/>
                            <a:ext cx="2583815" cy="1966595"/>
                          </a:xfrm>
                          <a:prstGeom prst="rect">
                            <a:avLst/>
                          </a:prstGeom>
                        </pic:spPr>
                      </pic:pic>
                    </a:graphicData>
                  </a:graphic>
                </wp:inline>
              </w:drawing>
            </w:r>
            <w:r>
              <w:rPr/>
              <w:t xml:space="preserve"> </w:t>
            </w:r>
          </w:p>
        </w:tc>
      </w:tr>
    </w:tbl>
    <w:p>
      <w:pPr>
        <w:pStyle w:val="TextBody"/>
        <w:bidi w:val="0"/>
        <w:spacing w:before="240" w:after="0"/>
        <w:jc w:val="left"/>
        <w:rPr>
          <w:rFonts w:ascii="arial" w:hAnsi="arial"/>
          <w:color w:val="1070B8"/>
          <w:sz w:val="22"/>
        </w:rPr>
      </w:pPr>
      <w:bookmarkStart w:id="64" w:name="txc849638_4"/>
      <w:bookmarkEnd w:id="64"/>
      <w:r>
        <w:rPr>
          <w:rFonts w:ascii="arial" w:hAnsi="arial"/>
          <w:color w:val="1070B8"/>
          <w:sz w:val="22"/>
        </w:rPr>
        <w:t xml:space="preserve">2024 Financial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02"/>
        <w:gridCol w:w="60"/>
        <w:gridCol w:w="1554"/>
        <w:gridCol w:w="60"/>
        <w:gridCol w:w="1495"/>
        <w:gridCol w:w="120"/>
        <w:gridCol w:w="2500"/>
        <w:gridCol w:w="120"/>
        <w:gridCol w:w="2394"/>
      </w:tblGrid>
      <w:tr>
        <w:trPr/>
        <w:tc>
          <w:tcPr>
            <w:tcW w:w="19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r>
      <w:tr>
        <w:trPr/>
        <w:tc>
          <w:tcPr>
            <w:tcW w:w="1902" w:type="dxa"/>
            <w:tcBorders>
              <w:top w:val="single" w:sz="12" w:space="0" w:color="1070B8"/>
            </w:tcBorders>
            <w:tcMar>
              <w:top w:w="28" w:type="dxa"/>
            </w:tcMar>
            <w:vAlign w:val="center"/>
          </w:tcPr>
          <w:p>
            <w:pPr>
              <w:pStyle w:val="TableContents"/>
              <w:bidi w:val="0"/>
              <w:spacing w:before="0" w:after="283"/>
              <w:jc w:val="left"/>
              <w:rPr/>
            </w:pPr>
            <w:r>
              <w:rPr/>
              <w:t> </w:t>
            </w:r>
          </w:p>
        </w:tc>
        <w:tc>
          <w:tcPr>
            <w:tcW w:w="60" w:type="dxa"/>
            <w:tcBorders>
              <w:top w:val="single" w:sz="12" w:space="0" w:color="1070B8"/>
            </w:tcBorders>
            <w:tcMar>
              <w:top w:w="28" w:type="dxa"/>
            </w:tcMar>
            <w:vAlign w:val="center"/>
          </w:tcPr>
          <w:p>
            <w:pPr>
              <w:pStyle w:val="TableContents"/>
              <w:bidi w:val="0"/>
              <w:spacing w:before="0" w:after="283"/>
              <w:jc w:val="left"/>
              <w:rPr/>
            </w:pPr>
            <w:r>
              <w:rPr/>
              <w:t> </w:t>
            </w:r>
          </w:p>
        </w:tc>
        <w:tc>
          <w:tcPr>
            <w:tcW w:w="1554" w:type="dxa"/>
            <w:tcBorders>
              <w:top w:val="single" w:sz="12" w:space="0" w:color="1070B8"/>
            </w:tcBorders>
            <w:tcMar>
              <w:top w:w="28" w:type="dxa"/>
            </w:tcMar>
            <w:vAlign w:val="center"/>
          </w:tcPr>
          <w:p>
            <w:pPr>
              <w:pStyle w:val="TableContents"/>
              <w:bidi w:val="0"/>
              <w:spacing w:before="0" w:after="283"/>
              <w:jc w:val="left"/>
              <w:rPr/>
            </w:pPr>
            <w:r>
              <w:rPr/>
              <w:t> </w:t>
            </w:r>
          </w:p>
        </w:tc>
        <w:tc>
          <w:tcPr>
            <w:tcW w:w="60" w:type="dxa"/>
            <w:tcBorders>
              <w:top w:val="single" w:sz="12" w:space="0" w:color="1070B8"/>
            </w:tcBorders>
            <w:tcMar>
              <w:top w:w="28" w:type="dxa"/>
            </w:tcMar>
            <w:vAlign w:val="center"/>
          </w:tcPr>
          <w:p>
            <w:pPr>
              <w:pStyle w:val="TableContents"/>
              <w:bidi w:val="0"/>
              <w:spacing w:before="0" w:after="283"/>
              <w:jc w:val="left"/>
              <w:rPr/>
            </w:pPr>
            <w:r>
              <w:rPr/>
              <w:t> </w:t>
            </w:r>
          </w:p>
        </w:tc>
        <w:tc>
          <w:tcPr>
            <w:tcW w:w="1495" w:type="dxa"/>
            <w:tcBorders>
              <w:top w:val="single" w:sz="12" w:space="0" w:color="1070B8"/>
            </w:tcBorders>
            <w:tcMar>
              <w:top w:w="28" w:type="dxa"/>
            </w:tcMar>
            <w:vAlign w:val="center"/>
          </w:tcPr>
          <w:p>
            <w:pPr>
              <w:pStyle w:val="TableContents"/>
              <w:bidi w:val="0"/>
              <w:spacing w:before="0" w:after="283"/>
              <w:jc w:val="left"/>
              <w:rPr/>
            </w:pPr>
            <w:r>
              <w:rPr/>
              <w:t> </w:t>
            </w:r>
          </w:p>
        </w:tc>
        <w:tc>
          <w:tcPr>
            <w:tcW w:w="120" w:type="dxa"/>
            <w:tcBorders>
              <w:top w:val="single" w:sz="12" w:space="0" w:color="1070B8"/>
            </w:tcBorders>
            <w:tcMar>
              <w:top w:w="28" w:type="dxa"/>
            </w:tcMar>
            <w:vAlign w:val="center"/>
          </w:tcPr>
          <w:p>
            <w:pPr>
              <w:pStyle w:val="TableContents"/>
              <w:bidi w:val="0"/>
              <w:spacing w:before="0" w:after="283"/>
              <w:jc w:val="left"/>
              <w:rPr/>
            </w:pPr>
            <w:r>
              <w:rPr/>
              <w:t>  </w:t>
            </w:r>
          </w:p>
        </w:tc>
        <w:tc>
          <w:tcPr>
            <w:tcW w:w="2500" w:type="dxa"/>
            <w:tcBorders>
              <w:top w:val="single" w:sz="12" w:space="0" w:color="1070B8"/>
            </w:tcBorders>
            <w:tcMar>
              <w:top w:w="28" w:type="dxa"/>
            </w:tcMar>
            <w:vAlign w:val="center"/>
          </w:tcPr>
          <w:p>
            <w:pPr>
              <w:pStyle w:val="TableContents"/>
              <w:bidi w:val="0"/>
              <w:spacing w:before="0" w:after="283"/>
              <w:jc w:val="left"/>
              <w:rPr/>
            </w:pPr>
            <w:r>
              <w:rPr/>
              <w:t> </w:t>
            </w:r>
          </w:p>
        </w:tc>
        <w:tc>
          <w:tcPr>
            <w:tcW w:w="120" w:type="dxa"/>
            <w:tcBorders>
              <w:top w:val="single" w:sz="12" w:space="0" w:color="1070B8"/>
            </w:tcBorders>
            <w:tcMar>
              <w:top w:w="28" w:type="dxa"/>
            </w:tcMar>
            <w:vAlign w:val="center"/>
          </w:tcPr>
          <w:p>
            <w:pPr>
              <w:pStyle w:val="TableContents"/>
              <w:bidi w:val="0"/>
              <w:spacing w:before="0" w:after="283"/>
              <w:jc w:val="left"/>
              <w:rPr/>
            </w:pPr>
            <w:r>
              <w:rPr/>
              <w:t>  </w:t>
            </w:r>
          </w:p>
        </w:tc>
        <w:tc>
          <w:tcPr>
            <w:tcW w:w="2394" w:type="dxa"/>
            <w:tcBorders>
              <w:top w:val="single" w:sz="12" w:space="0" w:color="1070B8"/>
            </w:tcBorders>
            <w:tcMar>
              <w:top w:w="28" w:type="dxa"/>
            </w:tcMar>
            <w:vAlign w:val="center"/>
          </w:tcPr>
          <w:p>
            <w:pPr>
              <w:pStyle w:val="TableContents"/>
              <w:bidi w:val="0"/>
              <w:spacing w:before="0" w:after="283"/>
              <w:jc w:val="left"/>
              <w:rPr/>
            </w:pPr>
            <w:r>
              <w:rPr/>
              <w:t> </w:t>
            </w:r>
          </w:p>
        </w:tc>
      </w:tr>
      <w:tr>
        <w:trPr/>
        <w:tc>
          <w:tcPr>
            <w:tcW w:w="1902" w:type="dxa"/>
            <w:tcBorders>
              <w:bottom w:val="single" w:sz="6" w:space="0" w:color="1070B8"/>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1070B8"/>
                <w:sz w:val="28"/>
              </w:rPr>
            </w:pPr>
            <w:r>
              <w:rPr>
                <w:rFonts w:ascii="arial" w:hAnsi="arial"/>
                <w:b/>
                <w:color w:val="1070B8"/>
                <w:sz w:val="28"/>
              </w:rPr>
              <w:t>Net Revenue </w:t>
            </w:r>
          </w:p>
          <w:p>
            <w:pPr>
              <w:pStyle w:val="TableContents"/>
              <w:bidi w:val="0"/>
              <w:spacing w:before="0" w:after="20"/>
              <w:jc w:val="left"/>
              <w:rPr/>
            </w:pPr>
            <w:r>
              <w:rPr/>
              <w:t> </w:t>
            </w:r>
          </w:p>
        </w:tc>
        <w:tc>
          <w:tcPr>
            <w:tcW w:w="60" w:type="dxa"/>
            <w:tcBorders>
              <w:left w:val="single" w:sz="6" w:space="0" w:color="1070B8"/>
              <w:bottom w:val="single" w:sz="6" w:space="0" w:color="1070B8"/>
            </w:tcBorders>
            <w:tcMar>
              <w:left w:w="28" w:type="dxa"/>
              <w:bottom w:w="28" w:type="dxa"/>
            </w:tcMar>
            <w:vAlign w:val="center"/>
          </w:tcPr>
          <w:p>
            <w:pPr>
              <w:pStyle w:val="TableContents"/>
              <w:bidi w:val="0"/>
              <w:spacing w:before="0" w:after="283"/>
              <w:jc w:val="left"/>
              <w:rPr/>
            </w:pPr>
            <w:r>
              <w:rPr/>
              <w:t> </w:t>
            </w:r>
          </w:p>
        </w:tc>
        <w:tc>
          <w:tcPr>
            <w:tcW w:w="1554" w:type="dxa"/>
            <w:tcBorders>
              <w:bottom w:val="single" w:sz="6" w:space="0" w:color="1070B8"/>
              <w:right w:val="single" w:sz="6" w:space="0" w:color="1070B8"/>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1070B8"/>
                <w:sz w:val="28"/>
              </w:rPr>
            </w:pPr>
            <w:r>
              <w:rPr>
                <w:rFonts w:ascii="arial" w:hAnsi="arial"/>
                <w:b/>
                <w:color w:val="1070B8"/>
                <w:sz w:val="28"/>
              </w:rPr>
              <w:t>Gross Profit </w:t>
            </w:r>
          </w:p>
          <w:p>
            <w:pPr>
              <w:pStyle w:val="TableContents"/>
              <w:bidi w:val="0"/>
              <w:spacing w:before="0" w:after="20"/>
              <w:jc w:val="left"/>
              <w:rPr/>
            </w:pPr>
            <w:r>
              <w:rPr/>
              <w:t> </w:t>
            </w:r>
          </w:p>
        </w:tc>
        <w:tc>
          <w:tcPr>
            <w:tcW w:w="60" w:type="dxa"/>
            <w:tcBorders>
              <w:bottom w:val="single" w:sz="6" w:space="0" w:color="1070B8"/>
            </w:tcBorders>
            <w:tcMar>
              <w:bottom w:w="28" w:type="dxa"/>
            </w:tcMar>
            <w:vAlign w:val="center"/>
          </w:tcPr>
          <w:p>
            <w:pPr>
              <w:pStyle w:val="TableContents"/>
              <w:bidi w:val="0"/>
              <w:spacing w:before="0" w:after="283"/>
              <w:jc w:val="left"/>
              <w:rPr/>
            </w:pPr>
            <w:r>
              <w:rPr/>
              <w:t> </w:t>
            </w:r>
          </w:p>
        </w:tc>
        <w:tc>
          <w:tcPr>
            <w:tcW w:w="1495" w:type="dxa"/>
            <w:tcBorders>
              <w:bottom w:val="single" w:sz="6" w:space="0" w:color="1070B8"/>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1070B8"/>
                <w:sz w:val="28"/>
              </w:rPr>
            </w:pPr>
            <w:r>
              <w:rPr>
                <w:rFonts w:ascii="arial" w:hAnsi="arial"/>
                <w:b/>
                <w:color w:val="1070B8"/>
                <w:sz w:val="28"/>
              </w:rPr>
              <w:t>Net Income </w:t>
            </w:r>
          </w:p>
          <w:p>
            <w:pPr>
              <w:pStyle w:val="TableContents"/>
              <w:bidi w:val="0"/>
              <w:spacing w:before="0" w:after="20"/>
              <w:jc w:val="left"/>
              <w:rPr/>
            </w:pPr>
            <w:r>
              <w:rPr/>
              <w:t> </w:t>
            </w:r>
          </w:p>
        </w:tc>
        <w:tc>
          <w:tcPr>
            <w:tcW w:w="120" w:type="dxa"/>
            <w:tcBorders>
              <w:left w:val="single" w:sz="6" w:space="0" w:color="1070B8"/>
              <w:bottom w:val="single" w:sz="6" w:space="0" w:color="1070B8"/>
            </w:tcBorders>
            <w:tcMar>
              <w:left w:w="28" w:type="dxa"/>
              <w:bottom w:w="28" w:type="dxa"/>
            </w:tcMar>
            <w:vAlign w:val="center"/>
          </w:tcPr>
          <w:p>
            <w:pPr>
              <w:pStyle w:val="TableContents"/>
              <w:bidi w:val="0"/>
              <w:spacing w:before="0" w:after="283"/>
              <w:jc w:val="left"/>
              <w:rPr/>
            </w:pPr>
            <w:r>
              <w:rPr/>
              <w:t>  </w:t>
            </w:r>
          </w:p>
        </w:tc>
        <w:tc>
          <w:tcPr>
            <w:tcW w:w="2500" w:type="dxa"/>
            <w:tcBorders>
              <w:bottom w:val="single" w:sz="6" w:space="0" w:color="1070B8"/>
              <w:right w:val="single" w:sz="6" w:space="0" w:color="1070B8"/>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color w:val="1070B8"/>
              </w:rPr>
            </w:pPr>
            <w:r>
              <w:rPr>
                <w:color w:val="1070B8"/>
              </w:rPr>
              <w:t> </w:t>
            </w:r>
            <w:r>
              <w:rPr>
                <w:rFonts w:ascii="arial" w:hAnsi="arial"/>
                <w:b/>
                <w:color w:val="1070B8"/>
                <w:sz w:val="28"/>
              </w:rPr>
              <w:t>Diluted Earnings </w:t>
            </w:r>
          </w:p>
          <w:p>
            <w:pPr>
              <w:pStyle w:val="TableContents"/>
              <w:bidi w:val="0"/>
              <w:spacing w:before="0" w:after="0"/>
              <w:jc w:val="center"/>
              <w:rPr>
                <w:rFonts w:ascii="arial" w:hAnsi="arial"/>
                <w:b/>
                <w:color w:val="1070B8"/>
                <w:sz w:val="28"/>
              </w:rPr>
            </w:pPr>
            <w:r>
              <w:rPr>
                <w:rFonts w:ascii="arial" w:hAnsi="arial"/>
                <w:b/>
                <w:color w:val="1070B8"/>
                <w:sz w:val="28"/>
              </w:rPr>
              <w:t>Per Share </w:t>
            </w:r>
          </w:p>
          <w:p>
            <w:pPr>
              <w:pStyle w:val="TableContents"/>
              <w:bidi w:val="0"/>
              <w:spacing w:before="0" w:after="20"/>
              <w:jc w:val="left"/>
              <w:rPr/>
            </w:pPr>
            <w:r>
              <w:rPr/>
              <w:t> </w:t>
            </w:r>
          </w:p>
        </w:tc>
        <w:tc>
          <w:tcPr>
            <w:tcW w:w="120" w:type="dxa"/>
            <w:tcBorders>
              <w:bottom w:val="single" w:sz="6" w:space="0" w:color="1070B8"/>
            </w:tcBorders>
            <w:tcMar>
              <w:bottom w:w="28" w:type="dxa"/>
            </w:tcMar>
            <w:vAlign w:val="center"/>
          </w:tcPr>
          <w:p>
            <w:pPr>
              <w:pStyle w:val="TableContents"/>
              <w:bidi w:val="0"/>
              <w:spacing w:before="0" w:after="283"/>
              <w:jc w:val="left"/>
              <w:rPr/>
            </w:pPr>
            <w:r>
              <w:rPr/>
              <w:t>  </w:t>
            </w:r>
          </w:p>
        </w:tc>
        <w:tc>
          <w:tcPr>
            <w:tcW w:w="2394" w:type="dxa"/>
            <w:tcBorders>
              <w:bottom w:val="single" w:sz="6" w:space="0" w:color="1070B8"/>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1070B8"/>
                <w:sz w:val="28"/>
              </w:rPr>
            </w:pPr>
            <w:r>
              <w:rPr>
                <w:rFonts w:ascii="arial" w:hAnsi="arial"/>
                <w:b/>
                <w:color w:val="1070B8"/>
                <w:sz w:val="28"/>
              </w:rPr>
              <w:t>Adjusted  EBITDA* </w:t>
            </w:r>
          </w:p>
          <w:p>
            <w:pPr>
              <w:pStyle w:val="TableContents"/>
              <w:bidi w:val="0"/>
              <w:spacing w:before="0" w:after="20"/>
              <w:jc w:val="left"/>
              <w:rPr/>
            </w:pPr>
            <w:r>
              <w:rPr/>
              <w:t> </w:t>
            </w:r>
          </w:p>
        </w:tc>
      </w:tr>
      <w:tr>
        <w:trPr/>
        <w:tc>
          <w:tcPr>
            <w:tcW w:w="1902" w:type="dxa"/>
            <w:tcBorders/>
            <w:vAlign w:val="center"/>
          </w:tcPr>
          <w:p>
            <w:pPr>
              <w:pStyle w:val="TableContents"/>
              <w:bidi w:val="0"/>
              <w:spacing w:before="0" w:after="283"/>
              <w:jc w:val="left"/>
              <w:rPr>
                <w:sz w:val="4"/>
                <w:szCs w:val="4"/>
              </w:rPr>
            </w:pPr>
            <w:r>
              <w:rPr>
                <w:sz w:val="4"/>
                <w:szCs w:val="4"/>
              </w:rPr>
            </w:r>
          </w:p>
        </w:tc>
        <w:tc>
          <w:tcPr>
            <w:tcW w:w="1614" w:type="dxa"/>
            <w:gridSpan w:val="2"/>
            <w:tcBorders>
              <w:left w:val="single" w:sz="6" w:space="0" w:color="1070B8"/>
              <w:right w:val="single" w:sz="6" w:space="0" w:color="1070B8"/>
            </w:tcBorders>
            <w:tcMar>
              <w:left w:w="28" w:type="dxa"/>
              <w:right w:w="28" w:type="dxa"/>
            </w:tcMar>
            <w:vAlign w:val="center"/>
          </w:tcPr>
          <w:p>
            <w:pPr>
              <w:pStyle w:val="TableContents"/>
              <w:bidi w:val="0"/>
              <w:spacing w:before="0" w:after="283"/>
              <w:jc w:val="left"/>
              <w:rPr/>
            </w:pPr>
            <w:r>
              <w:rPr/>
              <w:t> </w:t>
            </w:r>
          </w:p>
        </w:tc>
        <w:tc>
          <w:tcPr>
            <w:tcW w:w="1555" w:type="dxa"/>
            <w:gridSpan w:val="2"/>
            <w:tcBorders/>
            <w:vAlign w:val="center"/>
          </w:tcPr>
          <w:p>
            <w:pPr>
              <w:pStyle w:val="TableContents"/>
              <w:bidi w:val="0"/>
              <w:spacing w:before="0" w:after="283"/>
              <w:jc w:val="left"/>
              <w:rPr>
                <w:sz w:val="4"/>
                <w:szCs w:val="4"/>
              </w:rPr>
            </w:pPr>
            <w:r>
              <w:rPr>
                <w:sz w:val="4"/>
                <w:szCs w:val="4"/>
              </w:rPr>
            </w:r>
          </w:p>
        </w:tc>
        <w:tc>
          <w:tcPr>
            <w:tcW w:w="2620" w:type="dxa"/>
            <w:gridSpan w:val="2"/>
            <w:tcBorders>
              <w:left w:val="single" w:sz="6" w:space="0" w:color="1070B8"/>
              <w:right w:val="single" w:sz="6" w:space="0" w:color="1070B8"/>
            </w:tcBorders>
            <w:tcMar>
              <w:left w:w="28" w:type="dxa"/>
              <w:right w:w="28" w:type="dxa"/>
            </w:tcMar>
            <w:vAlign w:val="center"/>
          </w:tcPr>
          <w:p>
            <w:pPr>
              <w:pStyle w:val="TableContents"/>
              <w:bidi w:val="0"/>
              <w:spacing w:before="0" w:after="283"/>
              <w:jc w:val="left"/>
              <w:rPr/>
            </w:pPr>
            <w:r>
              <w:rPr/>
              <w:t> </w:t>
            </w:r>
          </w:p>
        </w:tc>
        <w:tc>
          <w:tcPr>
            <w:tcW w:w="2514" w:type="dxa"/>
            <w:gridSpan w:val="2"/>
            <w:tcBorders/>
            <w:vAlign w:val="center"/>
          </w:tcPr>
          <w:p>
            <w:pPr>
              <w:pStyle w:val="TableContents"/>
              <w:bidi w:val="0"/>
              <w:spacing w:before="0" w:after="283"/>
              <w:jc w:val="left"/>
              <w:rPr>
                <w:sz w:val="4"/>
                <w:szCs w:val="4"/>
              </w:rPr>
            </w:pPr>
            <w:r>
              <w:rPr>
                <w:sz w:val="4"/>
                <w:szCs w:val="4"/>
              </w:rPr>
            </w:r>
          </w:p>
        </w:tc>
      </w:tr>
      <w:tr>
        <w:trPr/>
        <w:tc>
          <w:tcPr>
            <w:tcW w:w="1902" w:type="dxa"/>
            <w:tcBorders/>
            <w:vAlign w:val="center"/>
          </w:tcPr>
          <w:p>
            <w:pPr>
              <w:pStyle w:val="TableContents"/>
              <w:bidi w:val="0"/>
              <w:spacing w:before="0" w:after="0"/>
              <w:jc w:val="center"/>
              <w:rPr>
                <w:rFonts w:ascii="arial" w:hAnsi="arial"/>
                <w:b/>
                <w:sz w:val="32"/>
              </w:rPr>
            </w:pPr>
            <w:r>
              <w:rPr>
                <w:rFonts w:ascii="arial" w:hAnsi="arial"/>
                <w:b/>
                <w:sz w:val="32"/>
              </w:rPr>
              <w:t>$2.9 </w:t>
            </w:r>
          </w:p>
          <w:p>
            <w:pPr>
              <w:pStyle w:val="TableContents"/>
              <w:bidi w:val="0"/>
              <w:spacing w:before="0" w:after="0"/>
              <w:jc w:val="center"/>
              <w:rPr>
                <w:rFonts w:ascii="arial" w:hAnsi="arial"/>
                <w:b/>
                <w:sz w:val="32"/>
              </w:rPr>
            </w:pPr>
            <w:r>
              <w:rPr>
                <w:rFonts w:ascii="arial" w:hAnsi="arial"/>
                <w:b/>
                <w:sz w:val="32"/>
              </w:rPr>
              <w:t>billion </w:t>
            </w:r>
          </w:p>
          <w:p>
            <w:pPr>
              <w:pStyle w:val="TableContents"/>
              <w:bidi w:val="0"/>
              <w:spacing w:before="0" w:after="0"/>
              <w:jc w:val="left"/>
              <w:rPr/>
            </w:pPr>
            <w:r>
              <w:rPr/>
              <w:t> </w:t>
            </w:r>
          </w:p>
          <w:p>
            <w:pPr>
              <w:pStyle w:val="TableContents"/>
              <w:bidi w:val="0"/>
              <w:spacing w:before="0" w:after="0"/>
              <w:jc w:val="center"/>
              <w:rPr>
                <w:rFonts w:ascii="arial" w:hAnsi="arial"/>
                <w:color w:val="1070B8"/>
                <w:sz w:val="24"/>
              </w:rPr>
            </w:pPr>
            <w:r>
              <w:rPr>
                <w:rFonts w:ascii="arial" w:hAnsi="arial"/>
                <w:color w:val="1070B8"/>
                <w:sz w:val="24"/>
              </w:rPr>
              <w:t>5.9% increase </w:t>
            </w:r>
          </w:p>
          <w:p>
            <w:pPr>
              <w:pStyle w:val="TableContents"/>
              <w:bidi w:val="0"/>
              <w:spacing w:before="0" w:after="20"/>
              <w:jc w:val="left"/>
              <w:rPr/>
            </w:pPr>
            <w:r>
              <w:rPr/>
              <w:t> </w:t>
            </w:r>
          </w:p>
        </w:tc>
        <w:tc>
          <w:tcPr>
            <w:tcW w:w="60" w:type="dxa"/>
            <w:tcBorders>
              <w:left w:val="single" w:sz="6" w:space="0" w:color="1070B8"/>
            </w:tcBorders>
            <w:tcMar>
              <w:left w:w="28" w:type="dxa"/>
            </w:tcMar>
            <w:vAlign w:val="center"/>
          </w:tcPr>
          <w:p>
            <w:pPr>
              <w:pStyle w:val="TableContents"/>
              <w:bidi w:val="0"/>
              <w:spacing w:before="0" w:after="283"/>
              <w:jc w:val="left"/>
              <w:rPr/>
            </w:pPr>
            <w:r>
              <w:rPr/>
              <w:t> </w:t>
            </w:r>
          </w:p>
        </w:tc>
        <w:tc>
          <w:tcPr>
            <w:tcW w:w="1554" w:type="dxa"/>
            <w:tcBorders>
              <w:right w:val="single" w:sz="6" w:space="0" w:color="1070B8"/>
            </w:tcBorders>
            <w:tcMar>
              <w:right w:w="28" w:type="dxa"/>
            </w:tcMar>
            <w:vAlign w:val="center"/>
          </w:tcPr>
          <w:p>
            <w:pPr>
              <w:pStyle w:val="TableContents"/>
              <w:bidi w:val="0"/>
              <w:spacing w:before="0" w:after="0"/>
              <w:jc w:val="center"/>
              <w:rPr>
                <w:rFonts w:ascii="arial" w:hAnsi="arial"/>
                <w:b/>
                <w:sz w:val="32"/>
              </w:rPr>
            </w:pPr>
            <w:r>
              <w:rPr>
                <w:rFonts w:ascii="arial" w:hAnsi="arial"/>
                <w:b/>
                <w:sz w:val="32"/>
              </w:rPr>
              <w:t>$994.5</w:t>
              <w:br/>
              <w:t>million</w:t>
            </w:r>
          </w:p>
          <w:p>
            <w:pPr>
              <w:pStyle w:val="TableContents"/>
              <w:bidi w:val="0"/>
              <w:spacing w:before="0" w:after="0"/>
              <w:jc w:val="left"/>
              <w:rPr/>
            </w:pPr>
            <w:r>
              <w:rPr/>
              <w:t> </w:t>
            </w:r>
          </w:p>
          <w:p>
            <w:pPr>
              <w:pStyle w:val="TableContents"/>
              <w:bidi w:val="0"/>
              <w:spacing w:before="0" w:after="0"/>
              <w:jc w:val="center"/>
              <w:rPr>
                <w:rFonts w:ascii="arial" w:hAnsi="arial"/>
                <w:color w:val="1070B8"/>
                <w:sz w:val="24"/>
              </w:rPr>
            </w:pPr>
            <w:r>
              <w:rPr>
                <w:rFonts w:ascii="arial" w:hAnsi="arial"/>
                <w:color w:val="1070B8"/>
                <w:sz w:val="24"/>
              </w:rPr>
              <w:t>6.9% increase 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0"/>
              <w:jc w:val="center"/>
              <w:rPr>
                <w:rFonts w:ascii="arial" w:hAnsi="arial"/>
                <w:b/>
                <w:sz w:val="32"/>
              </w:rPr>
            </w:pPr>
            <w:r>
              <w:rPr>
                <w:rFonts w:ascii="arial" w:hAnsi="arial"/>
                <w:b/>
                <w:sz w:val="32"/>
              </w:rPr>
              <w:t>$256.6</w:t>
              <w:br/>
              <w:t>million</w:t>
            </w:r>
          </w:p>
          <w:p>
            <w:pPr>
              <w:pStyle w:val="TableContents"/>
              <w:bidi w:val="0"/>
              <w:spacing w:before="0" w:after="0"/>
              <w:jc w:val="left"/>
              <w:rPr/>
            </w:pPr>
            <w:r>
              <w:rPr/>
              <w:t> </w:t>
            </w:r>
          </w:p>
          <w:p>
            <w:pPr>
              <w:pStyle w:val="TableContents"/>
              <w:bidi w:val="0"/>
              <w:spacing w:before="0" w:after="0"/>
              <w:jc w:val="center"/>
              <w:rPr>
                <w:rFonts w:ascii="arial" w:hAnsi="arial"/>
                <w:color w:val="1070B8"/>
                <w:sz w:val="24"/>
              </w:rPr>
            </w:pPr>
            <w:r>
              <w:rPr>
                <w:rFonts w:ascii="arial" w:hAnsi="arial"/>
                <w:color w:val="1070B8"/>
                <w:sz w:val="24"/>
              </w:rPr>
              <w:t>5.3% increase </w:t>
            </w:r>
          </w:p>
          <w:p>
            <w:pPr>
              <w:pStyle w:val="TableContents"/>
              <w:bidi w:val="0"/>
              <w:spacing w:before="0" w:after="20"/>
              <w:jc w:val="left"/>
              <w:rPr/>
            </w:pPr>
            <w:r>
              <w:rPr/>
              <w:t> </w:t>
            </w:r>
          </w:p>
        </w:tc>
        <w:tc>
          <w:tcPr>
            <w:tcW w:w="120" w:type="dxa"/>
            <w:tcBorders>
              <w:left w:val="single" w:sz="6" w:space="0" w:color="1070B8"/>
            </w:tcBorders>
            <w:tcMar>
              <w:left w:w="28" w:type="dxa"/>
            </w:tcMar>
            <w:vAlign w:val="center"/>
          </w:tcPr>
          <w:p>
            <w:pPr>
              <w:pStyle w:val="TableContents"/>
              <w:bidi w:val="0"/>
              <w:spacing w:before="0" w:after="283"/>
              <w:jc w:val="left"/>
              <w:rPr/>
            </w:pPr>
            <w:r>
              <w:rPr/>
              <w:t>  </w:t>
            </w:r>
          </w:p>
        </w:tc>
        <w:tc>
          <w:tcPr>
            <w:tcW w:w="2500" w:type="dxa"/>
            <w:tcBorders>
              <w:right w:val="single" w:sz="6" w:space="0" w:color="1070B8"/>
            </w:tcBorders>
            <w:tcMar>
              <w:right w:w="28" w:type="dxa"/>
            </w:tcMar>
            <w:vAlign w:val="center"/>
          </w:tcPr>
          <w:p>
            <w:pPr>
              <w:pStyle w:val="TableContents"/>
              <w:bidi w:val="0"/>
              <w:spacing w:before="0" w:after="0"/>
              <w:jc w:val="center"/>
              <w:rPr>
                <w:rFonts w:ascii="arial" w:hAnsi="arial"/>
                <w:b/>
                <w:sz w:val="32"/>
              </w:rPr>
            </w:pPr>
            <w:r>
              <w:rPr>
                <w:rFonts w:ascii="arial" w:hAnsi="arial"/>
                <w:b/>
                <w:sz w:val="32"/>
              </w:rPr>
              <w:t>$9.10 </w:t>
            </w:r>
          </w:p>
          <w:p>
            <w:pPr>
              <w:pStyle w:val="TableContents"/>
              <w:bidi w:val="0"/>
              <w:spacing w:before="0" w:after="0"/>
              <w:jc w:val="left"/>
              <w:rPr/>
            </w:pPr>
            <w:r>
              <w:rPr/>
              <w:t> </w:t>
            </w:r>
          </w:p>
          <w:p>
            <w:pPr>
              <w:pStyle w:val="TableContents"/>
              <w:bidi w:val="0"/>
              <w:spacing w:before="0" w:after="0"/>
              <w:jc w:val="center"/>
              <w:rPr>
                <w:rFonts w:ascii="arial" w:hAnsi="arial"/>
                <w:color w:val="1070B8"/>
                <w:sz w:val="24"/>
              </w:rPr>
            </w:pPr>
            <w:r>
              <w:rPr>
                <w:rFonts w:ascii="arial" w:hAnsi="arial"/>
                <w:color w:val="1070B8"/>
                <w:sz w:val="24"/>
              </w:rPr>
              <w:t>5.7% increase 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94" w:type="dxa"/>
            <w:tcBorders/>
            <w:vAlign w:val="center"/>
          </w:tcPr>
          <w:p>
            <w:pPr>
              <w:pStyle w:val="TableContents"/>
              <w:bidi w:val="0"/>
              <w:spacing w:before="0" w:after="0"/>
              <w:jc w:val="center"/>
              <w:rPr>
                <w:rFonts w:ascii="arial" w:hAnsi="arial"/>
                <w:b/>
                <w:sz w:val="32"/>
              </w:rPr>
            </w:pPr>
            <w:r>
              <w:rPr>
                <w:rFonts w:ascii="arial" w:hAnsi="arial"/>
                <w:b/>
                <w:sz w:val="32"/>
              </w:rPr>
              <w:t>$511.4 </w:t>
            </w:r>
          </w:p>
          <w:p>
            <w:pPr>
              <w:pStyle w:val="TableContents"/>
              <w:bidi w:val="0"/>
              <w:spacing w:before="0" w:after="0"/>
              <w:jc w:val="center"/>
              <w:rPr>
                <w:rFonts w:ascii="arial" w:hAnsi="arial"/>
                <w:b/>
                <w:sz w:val="32"/>
              </w:rPr>
            </w:pPr>
            <w:r>
              <w:rPr>
                <w:rFonts w:ascii="arial" w:hAnsi="arial"/>
                <w:b/>
                <w:sz w:val="32"/>
              </w:rPr>
              <w:t>million </w:t>
            </w:r>
          </w:p>
          <w:p>
            <w:pPr>
              <w:pStyle w:val="TableContents"/>
              <w:bidi w:val="0"/>
              <w:spacing w:before="0" w:after="0"/>
              <w:jc w:val="left"/>
              <w:rPr/>
            </w:pPr>
            <w:r>
              <w:rPr/>
              <w:t> </w:t>
            </w:r>
          </w:p>
          <w:p>
            <w:pPr>
              <w:pStyle w:val="TableContents"/>
              <w:bidi w:val="0"/>
              <w:spacing w:before="0" w:after="0"/>
              <w:jc w:val="center"/>
              <w:rPr>
                <w:rFonts w:ascii="arial" w:hAnsi="arial"/>
                <w:color w:val="1070B8"/>
                <w:sz w:val="24"/>
              </w:rPr>
            </w:pPr>
            <w:r>
              <w:rPr>
                <w:rFonts w:ascii="arial" w:hAnsi="arial"/>
                <w:color w:val="1070B8"/>
                <w:sz w:val="24"/>
              </w:rPr>
              <w:t>5.2% increase </w:t>
            </w:r>
          </w:p>
          <w:p>
            <w:pPr>
              <w:pStyle w:val="TableContents"/>
              <w:bidi w:val="0"/>
              <w:spacing w:before="0" w:after="20"/>
              <w:jc w:val="left"/>
              <w:rPr/>
            </w:pPr>
            <w:r>
              <w:rPr/>
              <w:t> </w:t>
            </w:r>
          </w:p>
        </w:tc>
      </w:tr>
      <w:tr>
        <w:trPr/>
        <w:tc>
          <w:tcPr>
            <w:tcW w:w="1902"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554"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495"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250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2394" w:type="dxa"/>
            <w:tcBorders>
              <w:bottom w:val="single" w:sz="12" w:space="0" w:color="1070B8"/>
            </w:tcBorders>
            <w:tcMar>
              <w:bottom w:w="28" w:type="dxa"/>
            </w:tcMar>
            <w:vAlign w:val="center"/>
          </w:tcPr>
          <w:p>
            <w:pPr>
              <w:pStyle w:val="TableContents"/>
              <w:bidi w:val="0"/>
              <w:spacing w:before="0" w:after="283"/>
              <w:jc w:val="left"/>
              <w:rPr/>
            </w:pPr>
            <w:r>
              <w:rPr/>
              <w:t> </w:t>
            </w:r>
          </w:p>
        </w:tc>
      </w:tr>
    </w:tbl>
    <w:p>
      <w:pPr>
        <w:pStyle w:val="TextBody"/>
        <w:bidi w:val="0"/>
        <w:spacing w:before="120" w:after="0"/>
        <w:jc w:val="left"/>
        <w:rPr>
          <w:rFonts w:ascii="arial" w:hAnsi="arial"/>
          <w:sz w:val="20"/>
        </w:rPr>
      </w:pPr>
      <w:r>
        <w:rPr>
          <w:rFonts w:ascii="arial" w:hAnsi="arial"/>
          <w:sz w:val="20"/>
        </w:rPr>
        <w:t>*See “</w:t>
      </w:r>
      <w:r>
        <w:rPr>
          <w:rFonts w:ascii="arial" w:hAnsi="arial"/>
          <w:i/>
          <w:sz w:val="20"/>
        </w:rPr>
        <w:t>Additional Information – Use of Non-GAAP Financial Measures</w:t>
      </w:r>
      <w:r>
        <w:rPr>
          <w:rFonts w:ascii="arial" w:hAnsi="arial"/>
          <w:sz w:val="20"/>
        </w:rPr>
        <w:t xml:space="preserve">” for a reconciliation of Adjusted EBITDA to the most directly comparable U.S. generally accepted accounting principles (“GAAP”) measure. Figures above reflect year over year increases. </w:t>
      </w:r>
    </w:p>
    <w:p>
      <w:pPr>
        <w:pStyle w:val="TextBody"/>
        <w:bidi w:val="0"/>
        <w:spacing w:before="240" w:after="0"/>
        <w:jc w:val="left"/>
        <w:rPr>
          <w:rFonts w:ascii="arial" w:hAnsi="arial"/>
          <w:color w:val="1070B8"/>
          <w:sz w:val="22"/>
        </w:rPr>
      </w:pPr>
      <w:bookmarkStart w:id="65" w:name="txc849638_5"/>
      <w:bookmarkEnd w:id="65"/>
      <w:r>
        <w:rPr>
          <w:rFonts w:ascii="arial" w:hAnsi="arial"/>
          <w:color w:val="1070B8"/>
          <w:sz w:val="22"/>
        </w:rPr>
        <w:t xml:space="preserve">Pay for Performance </w:t>
      </w:r>
    </w:p>
    <w:p>
      <w:pPr>
        <w:pStyle w:val="TextBody"/>
        <w:bidi w:val="0"/>
        <w:spacing w:before="200" w:after="0"/>
        <w:jc w:val="left"/>
        <w:rPr>
          <w:rFonts w:ascii="arial" w:hAnsi="arial"/>
          <w:sz w:val="20"/>
        </w:rPr>
      </w:pPr>
      <w:r>
        <w:rPr>
          <w:rFonts w:ascii="arial" w:hAnsi="arial"/>
          <w:sz w:val="20"/>
        </w:rPr>
        <w:t xml:space="preserve">Our executive compensation philosophy is to provide a competitive compensation package weighted toward Company performance and aligned with our stockholders’ long-term interests. The CHC Committee believes that our executive compensation program drives performance and increases stockholder value. The CHC Committee believes that total compensation for the Company’s named executive officers should align with the Company’s financial and strategic objectives and sustained growth, as well as individual performance, level of responsibility and experience. Consistent with that philosophy, in 2024 approximately 85.5% of our Chief Executive Officer’s and an average of 70.0% of our other named executive officers’ total target compensation reflected our continued emphasis on at-risk compensation linked with the Company’s operational and financial performance. Any incentive compensation earned by our NEOs depends upon the Company’s achieved Adjusted EBITDA during the performance period as compared against the target set in advance by the CHC Committee. Performance-based restricted stock is awarded as a number of shares rather than a fixed dollar amount, so the value of the restricted stock award fluctuates with our stock price during the performance period and the additional two year vesting period, strongly aligning the interests of our NEOs with the interests of our stockholders.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1070B8"/>
          <w:sz w:val="22"/>
        </w:rPr>
      </w:pPr>
      <w:bookmarkStart w:id="66" w:name="txc849638_6"/>
      <w:bookmarkEnd w:id="66"/>
      <w:r>
        <w:rPr>
          <w:rFonts w:ascii="arial" w:hAnsi="arial"/>
          <w:color w:val="1070B8"/>
          <w:sz w:val="22"/>
        </w:rPr>
        <w:t xml:space="preserve">2024 Say-on-Pay Voting Results </w:t>
      </w:r>
    </w:p>
    <w:p>
      <w:pPr>
        <w:pStyle w:val="TextBody"/>
        <w:bidi w:val="0"/>
        <w:spacing w:before="240" w:after="0"/>
        <w:jc w:val="left"/>
        <w:rPr>
          <w:rFonts w:ascii="arial" w:hAnsi="arial"/>
          <w:sz w:val="20"/>
        </w:rPr>
      </w:pPr>
      <w:r>
        <w:rPr>
          <w:rFonts w:ascii="arial" w:hAnsi="arial"/>
          <w:sz w:val="20"/>
        </w:rPr>
        <w:t>Our executive compensation program received strong support from our stockholders in 2024, with more than 96% the votes cast at the 2024 Annual Meeting of Stockholders voting in favor. The CHC Committee believes that this level of support is indicative of our stockholders’ strong support of our compensation practices and pay for performance alignment and influenced its decision to retain the core elements of our executive compensation program.</w:t>
      </w:r>
    </w:p>
    <w:p>
      <w:pPr>
        <w:pStyle w:val="TextBody"/>
        <w:bidi w:val="0"/>
        <w:spacing w:before="240" w:after="0"/>
        <w:jc w:val="left"/>
        <w:rPr>
          <w:rFonts w:ascii="arial" w:hAnsi="arial"/>
          <w:color w:val="1070B8"/>
          <w:sz w:val="22"/>
        </w:rPr>
      </w:pPr>
      <w:bookmarkStart w:id="67" w:name="txc849638_7"/>
      <w:bookmarkEnd w:id="67"/>
      <w:r>
        <w:rPr>
          <w:rFonts w:ascii="arial" w:hAnsi="arial"/>
          <w:color w:val="1070B8"/>
          <w:sz w:val="22"/>
        </w:rPr>
        <w:t xml:space="preserve">2024 Named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5"/>
        <w:gridCol w:w="60"/>
        <w:gridCol w:w="1973"/>
        <w:gridCol w:w="60"/>
        <w:gridCol w:w="2059"/>
        <w:gridCol w:w="60"/>
        <w:gridCol w:w="2220"/>
        <w:gridCol w:w="60"/>
        <w:gridCol w:w="1858"/>
      </w:tblGrid>
      <w:tr>
        <w:trPr/>
        <w:tc>
          <w:tcPr>
            <w:tcW w:w="1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1855" w:type="dxa"/>
            <w:tcBorders/>
            <w:vAlign w:val="center"/>
          </w:tcPr>
          <w:p>
            <w:pPr>
              <w:pStyle w:val="TableContents"/>
              <w:bidi w:val="0"/>
              <w:spacing w:before="0" w:after="283"/>
              <w:jc w:val="center"/>
              <w:rPr/>
            </w:pPr>
            <w:r>
              <w:rPr/>
              <w:drawing>
                <wp:inline distT="0" distB="0" distL="0" distR="0">
                  <wp:extent cx="1059815" cy="859790"/>
                  <wp:effectExtent l="0" t="0" r="0" b="0"/>
                  <wp:docPr id="7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6" descr=""/>
                          <pic:cNvPicPr>
                            <a:picLocks noChangeAspect="1" noChangeArrowheads="1"/>
                          </pic:cNvPicPr>
                        </pic:nvPicPr>
                        <pic:blipFill>
                          <a:blip r:embed="rId77"/>
                          <a:stretch>
                            <a:fillRect/>
                          </a:stretch>
                        </pic:blipFill>
                        <pic:spPr bwMode="auto">
                          <a:xfrm>
                            <a:off x="0" y="0"/>
                            <a:ext cx="1059815" cy="8597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973" w:type="dxa"/>
            <w:tcBorders/>
            <w:vAlign w:val="center"/>
          </w:tcPr>
          <w:p>
            <w:pPr>
              <w:pStyle w:val="TableContents"/>
              <w:bidi w:val="0"/>
              <w:spacing w:before="0" w:after="283"/>
              <w:jc w:val="center"/>
              <w:rPr/>
            </w:pPr>
            <w:r>
              <w:rPr/>
              <w:drawing>
                <wp:inline distT="0" distB="0" distL="0" distR="0">
                  <wp:extent cx="1059815" cy="859790"/>
                  <wp:effectExtent l="0" t="0" r="0" b="0"/>
                  <wp:docPr id="7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7" descr=""/>
                          <pic:cNvPicPr>
                            <a:picLocks noChangeAspect="1" noChangeArrowheads="1"/>
                          </pic:cNvPicPr>
                        </pic:nvPicPr>
                        <pic:blipFill>
                          <a:blip r:embed="rId78"/>
                          <a:stretch>
                            <a:fillRect/>
                          </a:stretch>
                        </pic:blipFill>
                        <pic:spPr bwMode="auto">
                          <a:xfrm>
                            <a:off x="0" y="0"/>
                            <a:ext cx="1059815" cy="8597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059" w:type="dxa"/>
            <w:tcBorders/>
            <w:vAlign w:val="center"/>
          </w:tcPr>
          <w:p>
            <w:pPr>
              <w:pStyle w:val="TableContents"/>
              <w:bidi w:val="0"/>
              <w:spacing w:before="0" w:after="283"/>
              <w:jc w:val="center"/>
              <w:rPr/>
            </w:pPr>
            <w:r>
              <w:rPr/>
              <w:drawing>
                <wp:inline distT="0" distB="0" distL="0" distR="0">
                  <wp:extent cx="1059815" cy="859790"/>
                  <wp:effectExtent l="0" t="0" r="0" b="0"/>
                  <wp:docPr id="8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8" descr=""/>
                          <pic:cNvPicPr>
                            <a:picLocks noChangeAspect="1" noChangeArrowheads="1"/>
                          </pic:cNvPicPr>
                        </pic:nvPicPr>
                        <pic:blipFill>
                          <a:blip r:embed="rId79"/>
                          <a:stretch>
                            <a:fillRect/>
                          </a:stretch>
                        </pic:blipFill>
                        <pic:spPr bwMode="auto">
                          <a:xfrm>
                            <a:off x="0" y="0"/>
                            <a:ext cx="1059815" cy="8597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center"/>
              <w:rPr/>
            </w:pPr>
            <w:r>
              <w:rPr/>
              <w:drawing>
                <wp:inline distT="0" distB="0" distL="0" distR="0">
                  <wp:extent cx="1059815" cy="859790"/>
                  <wp:effectExtent l="0" t="0" r="0" b="0"/>
                  <wp:docPr id="8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9" descr=""/>
                          <pic:cNvPicPr>
                            <a:picLocks noChangeAspect="1" noChangeArrowheads="1"/>
                          </pic:cNvPicPr>
                        </pic:nvPicPr>
                        <pic:blipFill>
                          <a:blip r:embed="rId80"/>
                          <a:stretch>
                            <a:fillRect/>
                          </a:stretch>
                        </pic:blipFill>
                        <pic:spPr bwMode="auto">
                          <a:xfrm>
                            <a:off x="0" y="0"/>
                            <a:ext cx="1059815" cy="8597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center"/>
              <w:rPr/>
            </w:pPr>
            <w:r>
              <w:rPr/>
              <w:drawing>
                <wp:inline distT="0" distB="0" distL="0" distR="0">
                  <wp:extent cx="1059815" cy="859790"/>
                  <wp:effectExtent l="0" t="0" r="0" b="0"/>
                  <wp:docPr id="8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0" descr=""/>
                          <pic:cNvPicPr>
                            <a:picLocks noChangeAspect="1" noChangeArrowheads="1"/>
                          </pic:cNvPicPr>
                        </pic:nvPicPr>
                        <pic:blipFill>
                          <a:blip r:embed="rId81"/>
                          <a:stretch>
                            <a:fillRect/>
                          </a:stretch>
                        </pic:blipFill>
                        <pic:spPr bwMode="auto">
                          <a:xfrm>
                            <a:off x="0" y="0"/>
                            <a:ext cx="1059815" cy="859790"/>
                          </a:xfrm>
                          <a:prstGeom prst="rect">
                            <a:avLst/>
                          </a:prstGeom>
                        </pic:spPr>
                      </pic:pic>
                    </a:graphicData>
                  </a:graphic>
                </wp:inline>
              </w:drawing>
            </w:r>
            <w:r>
              <w:rPr/>
              <w:t xml:space="preserve"> </w:t>
            </w:r>
          </w:p>
        </w:tc>
      </w:tr>
      <w:tr>
        <w:trPr/>
        <w:tc>
          <w:tcPr>
            <w:tcW w:w="1855" w:type="dxa"/>
            <w:tcBorders/>
            <w:vAlign w:val="center"/>
          </w:tcPr>
          <w:p>
            <w:pPr>
              <w:pStyle w:val="TableContents"/>
              <w:bidi w:val="0"/>
              <w:spacing w:before="0" w:after="283"/>
              <w:jc w:val="center"/>
              <w:rPr>
                <w:color w:val="1070B8"/>
              </w:rPr>
            </w:pPr>
            <w:r>
              <w:rPr>
                <w:color w:val="1070B8"/>
              </w:rPr>
              <w:t>Jeffrey W. Edwards</w:t>
            </w:r>
          </w:p>
        </w:tc>
        <w:tc>
          <w:tcPr>
            <w:tcW w:w="60" w:type="dxa"/>
            <w:tcBorders/>
            <w:vAlign w:val="center"/>
          </w:tcPr>
          <w:p>
            <w:pPr>
              <w:pStyle w:val="TableContents"/>
              <w:bidi w:val="0"/>
              <w:spacing w:before="0" w:after="283"/>
              <w:jc w:val="left"/>
              <w:rPr/>
            </w:pPr>
            <w:r>
              <w:rPr/>
              <w:t> </w:t>
            </w:r>
          </w:p>
        </w:tc>
        <w:tc>
          <w:tcPr>
            <w:tcW w:w="1973" w:type="dxa"/>
            <w:tcBorders/>
            <w:vAlign w:val="center"/>
          </w:tcPr>
          <w:p>
            <w:pPr>
              <w:pStyle w:val="TableContents"/>
              <w:bidi w:val="0"/>
              <w:spacing w:before="0" w:after="283"/>
              <w:jc w:val="center"/>
              <w:rPr>
                <w:color w:val="1070B8"/>
              </w:rPr>
            </w:pPr>
            <w:r>
              <w:rPr>
                <w:color w:val="1070B8"/>
              </w:rPr>
              <w:t>Michael T. Miller</w:t>
            </w:r>
          </w:p>
        </w:tc>
        <w:tc>
          <w:tcPr>
            <w:tcW w:w="60" w:type="dxa"/>
            <w:tcBorders/>
            <w:vAlign w:val="center"/>
          </w:tcPr>
          <w:p>
            <w:pPr>
              <w:pStyle w:val="TableContents"/>
              <w:bidi w:val="0"/>
              <w:spacing w:before="0" w:after="283"/>
              <w:jc w:val="left"/>
              <w:rPr/>
            </w:pPr>
            <w:r>
              <w:rPr/>
              <w:t> </w:t>
            </w:r>
          </w:p>
        </w:tc>
        <w:tc>
          <w:tcPr>
            <w:tcW w:w="2059" w:type="dxa"/>
            <w:tcBorders/>
            <w:vAlign w:val="center"/>
          </w:tcPr>
          <w:p>
            <w:pPr>
              <w:pStyle w:val="TableContents"/>
              <w:bidi w:val="0"/>
              <w:spacing w:before="0" w:after="283"/>
              <w:jc w:val="center"/>
              <w:rPr>
                <w:color w:val="1070B8"/>
              </w:rPr>
            </w:pPr>
            <w:r>
              <w:rPr>
                <w:color w:val="1070B8"/>
              </w:rPr>
              <w:t>Brad A. Wheeler</w:t>
            </w:r>
          </w:p>
        </w:tc>
        <w:tc>
          <w:tcPr>
            <w:tcW w:w="6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center"/>
              <w:rPr>
                <w:color w:val="1070B8"/>
              </w:rPr>
            </w:pPr>
            <w:r>
              <w:rPr>
                <w:color w:val="1070B8"/>
              </w:rPr>
              <w:t>W. Jeffrey Hire</w:t>
            </w:r>
          </w:p>
        </w:tc>
        <w:tc>
          <w:tcPr>
            <w:tcW w:w="60"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center"/>
              <w:rPr>
                <w:color w:val="1070B8"/>
              </w:rPr>
            </w:pPr>
            <w:r>
              <w:rPr>
                <w:color w:val="1070B8"/>
              </w:rPr>
              <w:t>Jason R. Niswonger</w:t>
            </w:r>
          </w:p>
        </w:tc>
      </w:tr>
      <w:tr>
        <w:trPr/>
        <w:tc>
          <w:tcPr>
            <w:tcW w:w="1855" w:type="dxa"/>
            <w:tcBorders/>
            <w:vAlign w:val="center"/>
          </w:tcPr>
          <w:p>
            <w:pPr>
              <w:pStyle w:val="TableContents"/>
              <w:bidi w:val="0"/>
              <w:spacing w:before="0" w:after="0"/>
              <w:jc w:val="center"/>
              <w:rPr>
                <w:rFonts w:ascii="arial" w:hAnsi="arial"/>
                <w:i/>
                <w:sz w:val="16"/>
              </w:rPr>
            </w:pPr>
            <w:r>
              <w:rPr>
                <w:rFonts w:ascii="arial" w:hAnsi="arial"/>
                <w:i/>
                <w:sz w:val="16"/>
              </w:rPr>
              <w:t>President, Chief Executive</w:t>
            </w:r>
          </w:p>
          <w:p>
            <w:pPr>
              <w:pStyle w:val="TableContents"/>
              <w:bidi w:val="0"/>
              <w:spacing w:before="0" w:after="20"/>
              <w:jc w:val="center"/>
              <w:rPr>
                <w:rFonts w:ascii="arial" w:hAnsi="arial"/>
                <w:i/>
                <w:sz w:val="16"/>
              </w:rPr>
            </w:pPr>
            <w:r>
              <w:rPr>
                <w:rFonts w:ascii="arial" w:hAnsi="arial"/>
                <w:i/>
                <w:sz w:val="16"/>
              </w:rPr>
              <w:t>Officer and Chairman</w:t>
            </w:r>
          </w:p>
        </w:tc>
        <w:tc>
          <w:tcPr>
            <w:tcW w:w="60" w:type="dxa"/>
            <w:tcBorders/>
            <w:vAlign w:val="center"/>
          </w:tcPr>
          <w:p>
            <w:pPr>
              <w:pStyle w:val="TableContents"/>
              <w:bidi w:val="0"/>
              <w:spacing w:before="0" w:after="283"/>
              <w:jc w:val="left"/>
              <w:rPr/>
            </w:pPr>
            <w:r>
              <w:rPr/>
              <w:t> </w:t>
            </w:r>
          </w:p>
        </w:tc>
        <w:tc>
          <w:tcPr>
            <w:tcW w:w="1973" w:type="dxa"/>
            <w:tcBorders/>
            <w:vAlign w:val="center"/>
          </w:tcPr>
          <w:p>
            <w:pPr>
              <w:pStyle w:val="TableContents"/>
              <w:bidi w:val="0"/>
              <w:spacing w:before="0" w:after="0"/>
              <w:jc w:val="center"/>
              <w:rPr>
                <w:rFonts w:ascii="arial" w:hAnsi="arial"/>
                <w:i/>
                <w:sz w:val="16"/>
              </w:rPr>
            </w:pPr>
            <w:r>
              <w:rPr>
                <w:rFonts w:ascii="arial" w:hAnsi="arial"/>
                <w:i/>
                <w:sz w:val="16"/>
              </w:rPr>
              <w:t>Executive Vice President and</w:t>
            </w:r>
          </w:p>
          <w:p>
            <w:pPr>
              <w:pStyle w:val="TableContents"/>
              <w:bidi w:val="0"/>
              <w:spacing w:before="0" w:after="20"/>
              <w:jc w:val="center"/>
              <w:rPr>
                <w:rFonts w:ascii="arial" w:hAnsi="arial"/>
                <w:i/>
                <w:sz w:val="16"/>
              </w:rPr>
            </w:pPr>
            <w:r>
              <w:rPr>
                <w:rFonts w:ascii="arial" w:hAnsi="arial"/>
                <w:i/>
                <w:sz w:val="16"/>
              </w:rPr>
              <w:t>Chief Financial Officer</w:t>
            </w:r>
          </w:p>
        </w:tc>
        <w:tc>
          <w:tcPr>
            <w:tcW w:w="60" w:type="dxa"/>
            <w:tcBorders/>
            <w:vAlign w:val="center"/>
          </w:tcPr>
          <w:p>
            <w:pPr>
              <w:pStyle w:val="TableContents"/>
              <w:bidi w:val="0"/>
              <w:spacing w:before="0" w:after="283"/>
              <w:jc w:val="left"/>
              <w:rPr/>
            </w:pPr>
            <w:r>
              <w:rPr/>
              <w:t> </w:t>
            </w:r>
          </w:p>
        </w:tc>
        <w:tc>
          <w:tcPr>
            <w:tcW w:w="2059" w:type="dxa"/>
            <w:tcBorders/>
            <w:vAlign w:val="center"/>
          </w:tcPr>
          <w:p>
            <w:pPr>
              <w:pStyle w:val="TableContents"/>
              <w:bidi w:val="0"/>
              <w:spacing w:before="0" w:after="283"/>
              <w:jc w:val="center"/>
              <w:rPr>
                <w:i/>
              </w:rPr>
            </w:pPr>
            <w:r>
              <w:rPr>
                <w:i/>
              </w:rPr>
              <w:t>Chief Operating Officer</w:t>
            </w:r>
          </w:p>
        </w:tc>
        <w:tc>
          <w:tcPr>
            <w:tcW w:w="6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center"/>
              <w:rPr>
                <w:i/>
              </w:rPr>
            </w:pPr>
            <w:r>
              <w:rPr>
                <w:i/>
              </w:rPr>
              <w:t>President, External Affairs</w:t>
            </w:r>
          </w:p>
        </w:tc>
        <w:tc>
          <w:tcPr>
            <w:tcW w:w="60"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0"/>
              <w:jc w:val="center"/>
              <w:rPr>
                <w:rFonts w:ascii="arial" w:hAnsi="arial"/>
                <w:i/>
                <w:sz w:val="16"/>
              </w:rPr>
            </w:pPr>
            <w:r>
              <w:rPr>
                <w:rFonts w:ascii="arial" w:hAnsi="arial"/>
                <w:i/>
                <w:sz w:val="16"/>
              </w:rPr>
              <w:t>Chief Administrative and</w:t>
            </w:r>
          </w:p>
          <w:p>
            <w:pPr>
              <w:pStyle w:val="TableContents"/>
              <w:bidi w:val="0"/>
              <w:spacing w:before="0" w:after="20"/>
              <w:jc w:val="center"/>
              <w:rPr>
                <w:rFonts w:ascii="arial" w:hAnsi="arial"/>
                <w:i/>
                <w:sz w:val="16"/>
              </w:rPr>
            </w:pPr>
            <w:r>
              <w:rPr>
                <w:rFonts w:ascii="arial" w:hAnsi="arial"/>
                <w:i/>
                <w:sz w:val="16"/>
              </w:rPr>
              <w:t>Sustainability Officer</w:t>
            </w:r>
          </w:p>
        </w:tc>
      </w:tr>
    </w:tbl>
    <w:p>
      <w:pPr>
        <w:pStyle w:val="TextBody"/>
        <w:bidi w:val="0"/>
        <w:spacing w:before="240" w:after="0"/>
        <w:jc w:val="left"/>
        <w:rPr>
          <w:rFonts w:ascii="arial" w:hAnsi="arial"/>
          <w:color w:val="1070B8"/>
          <w:sz w:val="22"/>
        </w:rPr>
      </w:pPr>
      <w:bookmarkStart w:id="68" w:name="txc849638_8"/>
      <w:bookmarkEnd w:id="68"/>
      <w:r>
        <w:rPr>
          <w:rFonts w:ascii="arial" w:hAnsi="arial"/>
          <w:color w:val="1070B8"/>
          <w:sz w:val="22"/>
        </w:rPr>
        <w:t xml:space="preserve">2024 Executive Compensation at a Glance </w:t>
      </w:r>
    </w:p>
    <w:p>
      <w:pPr>
        <w:pStyle w:val="TextBody"/>
        <w:bidi w:val="0"/>
        <w:spacing w:before="0" w:after="0"/>
        <w:jc w:val="left"/>
        <w:rPr/>
      </w:pPr>
      <w:r>
        <w:rPr/>
        <w:t> </w:t>
      </w:r>
    </w:p>
    <w:tbl>
      <w:tblPr>
        <w:tblW w:w="8387" w:type="dxa"/>
        <w:jc w:val="left"/>
        <w:tblInd w:w="0" w:type="dxa"/>
        <w:tblLayout w:type="fixed"/>
        <w:tblCellMar>
          <w:top w:w="0" w:type="dxa"/>
          <w:left w:w="0" w:type="dxa"/>
          <w:bottom w:w="0" w:type="dxa"/>
          <w:right w:w="0" w:type="dxa"/>
        </w:tblCellMar>
      </w:tblPr>
      <w:tblGrid>
        <w:gridCol w:w="1895"/>
        <w:gridCol w:w="120"/>
        <w:gridCol w:w="60"/>
        <w:gridCol w:w="60"/>
        <w:gridCol w:w="800"/>
        <w:gridCol w:w="23"/>
        <w:gridCol w:w="120"/>
        <w:gridCol w:w="94"/>
        <w:gridCol w:w="94"/>
        <w:gridCol w:w="1535"/>
        <w:gridCol w:w="37"/>
        <w:gridCol w:w="120"/>
        <w:gridCol w:w="94"/>
        <w:gridCol w:w="94"/>
        <w:gridCol w:w="1535"/>
        <w:gridCol w:w="37"/>
        <w:gridCol w:w="120"/>
        <w:gridCol w:w="62"/>
        <w:gridCol w:w="62"/>
        <w:gridCol w:w="1386"/>
        <w:gridCol w:w="39"/>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tcMar>
              <w:bottom w:w="28" w:type="dxa"/>
            </w:tcMar>
            <w:vAlign w:val="center"/>
          </w:tcPr>
          <w:p>
            <w:pPr>
              <w:pStyle w:val="TableContents"/>
              <w:bidi w:val="0"/>
              <w:spacing w:before="0" w:after="0"/>
              <w:jc w:val="left"/>
              <w:rPr>
                <w:rFonts w:ascii="arial" w:hAnsi="arial"/>
                <w:b/>
                <w:color w:val="1F295C"/>
                <w:sz w:val="18"/>
              </w:rPr>
            </w:pPr>
            <w:r>
              <w:rPr>
                <w:rFonts w:ascii="arial" w:hAnsi="arial"/>
                <w:b/>
                <w:color w:val="1F295C"/>
                <w:sz w:val="18"/>
              </w:rPr>
              <w:t>Name</w:t>
            </w:r>
          </w:p>
          <w:p>
            <w:pPr>
              <w:pStyle w:val="TableContents"/>
              <w:bidi w:val="0"/>
              <w:spacing w:before="0" w:after="20"/>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943" w:type="dxa"/>
            <w:gridSpan w:val="4"/>
            <w:tcBorders>
              <w:bottom w:val="single" w:sz="12" w:space="0" w:color="1070B8"/>
            </w:tcBorders>
            <w:tcMar>
              <w:bottom w:w="28" w:type="dxa"/>
            </w:tcMar>
            <w:vAlign w:val="center"/>
          </w:tcPr>
          <w:p>
            <w:pPr>
              <w:pStyle w:val="TableContents"/>
              <w:bidi w:val="0"/>
              <w:spacing w:before="0" w:after="0"/>
              <w:jc w:val="center"/>
              <w:rPr>
                <w:rFonts w:ascii="arial" w:hAnsi="arial"/>
                <w:b/>
                <w:color w:val="1F295C"/>
                <w:sz w:val="18"/>
              </w:rPr>
            </w:pPr>
            <w:r>
              <w:rPr>
                <w:rFonts w:ascii="arial" w:hAnsi="arial"/>
                <w:b/>
                <w:color w:val="1F295C"/>
                <w:sz w:val="18"/>
              </w:rPr>
              <w:t>Base</w:t>
              <w:br/>
              <w:t>Salary</w:t>
              <w:br/>
              <w:t>($)(1)</w:t>
            </w:r>
          </w:p>
          <w:p>
            <w:pPr>
              <w:pStyle w:val="TableContents"/>
              <w:bidi w:val="0"/>
              <w:spacing w:before="0" w:after="20"/>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760" w:type="dxa"/>
            <w:gridSpan w:val="4"/>
            <w:tcBorders>
              <w:bottom w:val="single" w:sz="12" w:space="0" w:color="1070B8"/>
            </w:tcBorders>
            <w:tcMar>
              <w:bottom w:w="28" w:type="dxa"/>
            </w:tcMar>
            <w:vAlign w:val="center"/>
          </w:tcPr>
          <w:p>
            <w:pPr>
              <w:pStyle w:val="TableContents"/>
              <w:bidi w:val="0"/>
              <w:spacing w:before="0" w:after="0"/>
              <w:jc w:val="center"/>
              <w:rPr>
                <w:rFonts w:ascii="arial" w:hAnsi="arial"/>
                <w:b/>
                <w:color w:val="1F295C"/>
                <w:sz w:val="18"/>
              </w:rPr>
            </w:pPr>
            <w:r>
              <w:rPr>
                <w:rFonts w:ascii="arial" w:hAnsi="arial"/>
                <w:b/>
                <w:color w:val="1F295C"/>
                <w:sz w:val="18"/>
              </w:rPr>
              <w:t>Performance-Based</w:t>
              <w:br/>
              <w:t>Cash Award Earned</w:t>
              <w:br/>
              <w:t>($)</w:t>
            </w:r>
          </w:p>
          <w:p>
            <w:pPr>
              <w:pStyle w:val="TableContents"/>
              <w:bidi w:val="0"/>
              <w:spacing w:before="0" w:after="20"/>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760" w:type="dxa"/>
            <w:gridSpan w:val="4"/>
            <w:tcBorders>
              <w:bottom w:val="single" w:sz="12" w:space="0" w:color="1070B8"/>
            </w:tcBorders>
            <w:tcMar>
              <w:bottom w:w="28" w:type="dxa"/>
            </w:tcMar>
            <w:vAlign w:val="center"/>
          </w:tcPr>
          <w:p>
            <w:pPr>
              <w:pStyle w:val="TableContents"/>
              <w:bidi w:val="0"/>
              <w:spacing w:before="0" w:after="0"/>
              <w:jc w:val="center"/>
              <w:rPr>
                <w:rFonts w:ascii="arial" w:hAnsi="arial"/>
                <w:b/>
                <w:color w:val="1F295C"/>
                <w:sz w:val="18"/>
              </w:rPr>
            </w:pPr>
            <w:r>
              <w:rPr>
                <w:rFonts w:ascii="arial" w:hAnsi="arial"/>
                <w:b/>
                <w:color w:val="1F295C"/>
                <w:sz w:val="18"/>
              </w:rPr>
              <w:t>Performance-Based</w:t>
              <w:br/>
              <w:t>Restricted Stock</w:t>
              <w:br/>
              <w:t>Award Earned</w:t>
            </w:r>
          </w:p>
          <w:p>
            <w:pPr>
              <w:pStyle w:val="TableContents"/>
              <w:bidi w:val="0"/>
              <w:spacing w:before="0" w:after="0"/>
              <w:jc w:val="center"/>
              <w:rPr>
                <w:rFonts w:ascii="arial" w:hAnsi="arial"/>
                <w:b/>
                <w:color w:val="1F295C"/>
                <w:sz w:val="18"/>
              </w:rPr>
            </w:pPr>
            <w:r>
              <w:rPr>
                <w:rFonts w:ascii="arial" w:hAnsi="arial"/>
                <w:b/>
                <w:color w:val="1F295C"/>
                <w:sz w:val="18"/>
              </w:rPr>
              <w:t>Fair Value</w:t>
            </w:r>
          </w:p>
          <w:p>
            <w:pPr>
              <w:pStyle w:val="TableContents"/>
              <w:bidi w:val="0"/>
              <w:spacing w:before="0" w:after="0"/>
              <w:jc w:val="center"/>
              <w:rPr>
                <w:rFonts w:ascii="arial" w:hAnsi="arial"/>
                <w:b/>
                <w:color w:val="1F295C"/>
                <w:sz w:val="18"/>
              </w:rPr>
            </w:pPr>
            <w:r>
              <w:rPr>
                <w:rFonts w:ascii="arial" w:hAnsi="arial"/>
                <w:b/>
                <w:color w:val="1F295C"/>
                <w:sz w:val="18"/>
              </w:rPr>
              <w:t>($)(2)</w:t>
            </w:r>
          </w:p>
          <w:p>
            <w:pPr>
              <w:pStyle w:val="TableContents"/>
              <w:bidi w:val="0"/>
              <w:spacing w:before="0" w:after="20"/>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549" w:type="dxa"/>
            <w:gridSpan w:val="4"/>
            <w:tcBorders>
              <w:bottom w:val="single" w:sz="12" w:space="0" w:color="1070B8"/>
            </w:tcBorders>
            <w:tcMar>
              <w:bottom w:w="28" w:type="dxa"/>
            </w:tcMar>
            <w:vAlign w:val="center"/>
          </w:tcPr>
          <w:p>
            <w:pPr>
              <w:pStyle w:val="TableContents"/>
              <w:bidi w:val="0"/>
              <w:spacing w:before="0" w:after="0"/>
              <w:jc w:val="center"/>
              <w:rPr>
                <w:rFonts w:ascii="arial" w:hAnsi="arial"/>
                <w:b/>
                <w:color w:val="1F295C"/>
                <w:sz w:val="18"/>
              </w:rPr>
            </w:pPr>
            <w:r>
              <w:rPr>
                <w:rFonts w:ascii="arial" w:hAnsi="arial"/>
                <w:b/>
                <w:color w:val="1F295C"/>
                <w:sz w:val="18"/>
              </w:rPr>
              <w:t>Earned  </w:t>
              <w:br/>
              <w:t>Compensation  </w:t>
            </w:r>
          </w:p>
          <w:p>
            <w:pPr>
              <w:pStyle w:val="TableContents"/>
              <w:bidi w:val="0"/>
              <w:spacing w:before="0" w:after="0"/>
              <w:jc w:val="center"/>
              <w:rPr>
                <w:rFonts w:ascii="arial" w:hAnsi="arial"/>
                <w:b/>
                <w:color w:val="1F295C"/>
                <w:sz w:val="18"/>
              </w:rPr>
            </w:pPr>
            <w:r>
              <w:rPr>
                <w:rFonts w:ascii="arial" w:hAnsi="arial"/>
                <w:b/>
                <w:color w:val="1F295C"/>
                <w:sz w:val="18"/>
              </w:rPr>
              <w:t>Total  </w:t>
            </w:r>
          </w:p>
          <w:p>
            <w:pPr>
              <w:pStyle w:val="TableContents"/>
              <w:bidi w:val="0"/>
              <w:spacing w:before="0" w:after="0"/>
              <w:jc w:val="center"/>
              <w:rPr>
                <w:rFonts w:ascii="arial" w:hAnsi="arial"/>
                <w:b/>
                <w:color w:val="1F295C"/>
                <w:sz w:val="18"/>
              </w:rPr>
            </w:pPr>
            <w:r>
              <w:rPr>
                <w:rFonts w:ascii="arial" w:hAnsi="arial"/>
                <w:b/>
                <w:color w:val="1F295C"/>
                <w:sz w:val="18"/>
              </w:rPr>
              <w:t>($)  </w:t>
            </w:r>
          </w:p>
          <w:p>
            <w:pPr>
              <w:pStyle w:val="TableContents"/>
              <w:bidi w:val="0"/>
              <w:spacing w:before="0" w:after="20"/>
              <w:jc w:val="left"/>
              <w:rPr/>
            </w:pPr>
            <w:r>
              <w:rPr/>
              <w:t> </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880" w:type="dxa"/>
            <w:gridSpan w:val="5"/>
            <w:tcBorders/>
            <w:vAlign w:val="center"/>
          </w:tcPr>
          <w:p>
            <w:pPr>
              <w:pStyle w:val="TableContents"/>
              <w:bidi w:val="0"/>
              <w:spacing w:before="0" w:after="283"/>
              <w:jc w:val="left"/>
              <w:rPr>
                <w:sz w:val="4"/>
                <w:szCs w:val="4"/>
              </w:rPr>
            </w:pPr>
            <w:r>
              <w:rPr>
                <w:sz w:val="4"/>
                <w:szCs w:val="4"/>
              </w:rPr>
            </w:r>
          </w:p>
        </w:tc>
        <w:tc>
          <w:tcPr>
            <w:tcW w:w="1880" w:type="dxa"/>
            <w:gridSpan w:val="5"/>
            <w:tcBorders/>
            <w:vAlign w:val="center"/>
          </w:tcPr>
          <w:p>
            <w:pPr>
              <w:pStyle w:val="TableContents"/>
              <w:bidi w:val="0"/>
              <w:spacing w:before="0" w:after="283"/>
              <w:jc w:val="left"/>
              <w:rPr>
                <w:sz w:val="4"/>
                <w:szCs w:val="4"/>
              </w:rPr>
            </w:pPr>
            <w:r>
              <w:rPr>
                <w:sz w:val="4"/>
                <w:szCs w:val="4"/>
              </w:rPr>
            </w:r>
          </w:p>
        </w:tc>
        <w:tc>
          <w:tcPr>
            <w:tcW w:w="1669"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before="0" w:after="0"/>
              <w:jc w:val="left"/>
              <w:rPr/>
            </w:pPr>
            <w:r>
              <w:rPr/>
              <w:t> </w:t>
            </w:r>
            <w:r>
              <w:rPr>
                <w:rFonts w:ascii="arial" w:hAnsi="arial"/>
                <w:sz w:val="20"/>
              </w:rPr>
              <w:t>Jeffrey W. Edwards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900,000</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1,247,480</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3,186,637</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386" w:type="dxa"/>
            <w:tcBorders>
              <w:bottom w:val="single" w:sz="6" w:space="0" w:color="000000"/>
            </w:tcBorders>
            <w:tcMar>
              <w:bottom w:w="28" w:type="dxa"/>
            </w:tcMar>
            <w:vAlign w:val="center"/>
          </w:tcPr>
          <w:p>
            <w:pPr>
              <w:pStyle w:val="TableContents"/>
              <w:bidi w:val="0"/>
              <w:spacing w:before="0" w:after="283"/>
              <w:jc w:val="right"/>
              <w:rPr/>
            </w:pPr>
            <w:r>
              <w:rPr/>
              <w:t>5,334,117  </w:t>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before="0" w:after="0"/>
              <w:jc w:val="left"/>
              <w:rPr/>
            </w:pPr>
            <w:r>
              <w:rPr/>
              <w:t> </w:t>
            </w:r>
            <w:r>
              <w:rPr>
                <w:rFonts w:ascii="arial" w:hAnsi="arial"/>
                <w:sz w:val="20"/>
              </w:rPr>
              <w:t>Michael T. Miller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475,000</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455,810</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995,814</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386" w:type="dxa"/>
            <w:tcBorders>
              <w:bottom w:val="single" w:sz="6" w:space="0" w:color="000000"/>
            </w:tcBorders>
            <w:tcMar>
              <w:bottom w:w="28" w:type="dxa"/>
            </w:tcMar>
            <w:vAlign w:val="center"/>
          </w:tcPr>
          <w:p>
            <w:pPr>
              <w:pStyle w:val="TableContents"/>
              <w:bidi w:val="0"/>
              <w:spacing w:before="0" w:after="283"/>
              <w:jc w:val="right"/>
              <w:rPr/>
            </w:pPr>
            <w:r>
              <w:rPr/>
              <w:t>1,926,624  </w:t>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before="0" w:after="0"/>
              <w:jc w:val="left"/>
              <w:rPr/>
            </w:pPr>
            <w:r>
              <w:rPr/>
              <w:t> </w:t>
            </w:r>
            <w:r>
              <w:rPr>
                <w:rFonts w:ascii="arial" w:hAnsi="arial"/>
                <w:sz w:val="20"/>
              </w:rPr>
              <w:t>Brad A. Wheeler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485,000</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431,820</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796,618</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386" w:type="dxa"/>
            <w:tcBorders>
              <w:bottom w:val="single" w:sz="6" w:space="0" w:color="000000"/>
            </w:tcBorders>
            <w:tcMar>
              <w:bottom w:w="28" w:type="dxa"/>
            </w:tcMar>
            <w:vAlign w:val="center"/>
          </w:tcPr>
          <w:p>
            <w:pPr>
              <w:pStyle w:val="TableContents"/>
              <w:bidi w:val="0"/>
              <w:spacing w:before="0" w:after="283"/>
              <w:jc w:val="right"/>
              <w:rPr/>
            </w:pPr>
            <w:r>
              <w:rPr/>
              <w:t>1,713,438  </w:t>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before="0" w:after="0"/>
              <w:jc w:val="left"/>
              <w:rPr/>
            </w:pPr>
            <w:r>
              <w:rPr/>
              <w:t> </w:t>
            </w:r>
            <w:r>
              <w:rPr>
                <w:rFonts w:ascii="arial" w:hAnsi="arial"/>
                <w:sz w:val="20"/>
              </w:rPr>
              <w:t>W. Jeffrey Hire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450,000</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215,910</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219,049</w:t>
            </w:r>
          </w:p>
        </w:tc>
        <w:tc>
          <w:tcPr>
            <w:tcW w:w="3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386" w:type="dxa"/>
            <w:tcBorders>
              <w:bottom w:val="single" w:sz="6" w:space="0" w:color="000000"/>
            </w:tcBorders>
            <w:tcMar>
              <w:bottom w:w="28" w:type="dxa"/>
            </w:tcMar>
            <w:vAlign w:val="center"/>
          </w:tcPr>
          <w:p>
            <w:pPr>
              <w:pStyle w:val="TableContents"/>
              <w:bidi w:val="0"/>
              <w:spacing w:before="0" w:after="283"/>
              <w:jc w:val="right"/>
              <w:rPr/>
            </w:pPr>
            <w:r>
              <w:rPr/>
              <w:t>884,959  </w:t>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shd w:fill="D5DBE3" w:val="clear"/>
            <w:tcMar>
              <w:bottom w:w="28" w:type="dxa"/>
            </w:tcMar>
            <w:vAlign w:val="center"/>
          </w:tcPr>
          <w:p>
            <w:pPr>
              <w:pStyle w:val="TableContents"/>
              <w:bidi w:val="0"/>
              <w:spacing w:before="0" w:after="0"/>
              <w:jc w:val="left"/>
              <w:rPr/>
            </w:pPr>
            <w:r>
              <w:rPr/>
              <w:t> </w:t>
            </w:r>
            <w:r>
              <w:rPr>
                <w:rFonts w:ascii="arial" w:hAnsi="arial"/>
                <w:sz w:val="20"/>
              </w:rPr>
              <w:t>Jason R. Niswonger</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800" w:type="dxa"/>
            <w:tcBorders>
              <w:bottom w:val="single" w:sz="12" w:space="0" w:color="1070B8"/>
            </w:tcBorders>
            <w:tcMar>
              <w:bottom w:w="28" w:type="dxa"/>
            </w:tcMar>
            <w:vAlign w:val="center"/>
          </w:tcPr>
          <w:p>
            <w:pPr>
              <w:pStyle w:val="TableContents"/>
              <w:bidi w:val="0"/>
              <w:spacing w:before="0" w:after="283"/>
              <w:jc w:val="right"/>
              <w:rPr/>
            </w:pPr>
            <w:r>
              <w:rPr/>
              <w:t>465,000</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94" w:type="dxa"/>
            <w:tcBorders>
              <w:bottom w:val="single" w:sz="12" w:space="0" w:color="1070B8"/>
            </w:tcBorders>
            <w:tcMar>
              <w:bottom w:w="28" w:type="dxa"/>
            </w:tcMar>
            <w:vAlign w:val="center"/>
          </w:tcPr>
          <w:p>
            <w:pPr>
              <w:pStyle w:val="TableContents"/>
              <w:bidi w:val="0"/>
              <w:spacing w:before="0" w:after="283"/>
              <w:jc w:val="left"/>
              <w:rPr/>
            </w:pPr>
            <w:r>
              <w:rPr/>
              <w:t> </w:t>
            </w:r>
          </w:p>
        </w:tc>
        <w:tc>
          <w:tcPr>
            <w:tcW w:w="94" w:type="dxa"/>
            <w:tcBorders>
              <w:bottom w:val="single" w:sz="12" w:space="0" w:color="1070B8"/>
            </w:tcBorders>
            <w:tcMar>
              <w:bottom w:w="28" w:type="dxa"/>
            </w:tcMar>
            <w:vAlign w:val="center"/>
          </w:tcPr>
          <w:p>
            <w:pPr>
              <w:pStyle w:val="TableContents"/>
              <w:bidi w:val="0"/>
              <w:spacing w:before="0" w:after="283"/>
              <w:jc w:val="left"/>
              <w:rPr/>
            </w:pPr>
            <w:r>
              <w:rPr/>
              <w:t> </w:t>
            </w:r>
          </w:p>
        </w:tc>
        <w:tc>
          <w:tcPr>
            <w:tcW w:w="1535" w:type="dxa"/>
            <w:tcBorders>
              <w:bottom w:val="single" w:sz="12" w:space="0" w:color="1070B8"/>
            </w:tcBorders>
            <w:tcMar>
              <w:bottom w:w="28" w:type="dxa"/>
            </w:tcMar>
            <w:vAlign w:val="center"/>
          </w:tcPr>
          <w:p>
            <w:pPr>
              <w:pStyle w:val="TableContents"/>
              <w:bidi w:val="0"/>
              <w:spacing w:before="0" w:after="283"/>
              <w:jc w:val="right"/>
              <w:rPr/>
            </w:pPr>
            <w:r>
              <w:rPr/>
              <w:t>278,284</w:t>
            </w:r>
          </w:p>
        </w:tc>
        <w:tc>
          <w:tcPr>
            <w:tcW w:w="37"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94" w:type="dxa"/>
            <w:tcBorders>
              <w:bottom w:val="single" w:sz="12" w:space="0" w:color="1070B8"/>
            </w:tcBorders>
            <w:tcMar>
              <w:bottom w:w="28" w:type="dxa"/>
            </w:tcMar>
            <w:vAlign w:val="center"/>
          </w:tcPr>
          <w:p>
            <w:pPr>
              <w:pStyle w:val="TableContents"/>
              <w:bidi w:val="0"/>
              <w:spacing w:before="0" w:after="283"/>
              <w:jc w:val="left"/>
              <w:rPr/>
            </w:pPr>
            <w:r>
              <w:rPr/>
              <w:t> </w:t>
            </w:r>
          </w:p>
        </w:tc>
        <w:tc>
          <w:tcPr>
            <w:tcW w:w="94" w:type="dxa"/>
            <w:tcBorders>
              <w:bottom w:val="single" w:sz="12" w:space="0" w:color="1070B8"/>
            </w:tcBorders>
            <w:tcMar>
              <w:bottom w:w="28" w:type="dxa"/>
            </w:tcMar>
            <w:vAlign w:val="center"/>
          </w:tcPr>
          <w:p>
            <w:pPr>
              <w:pStyle w:val="TableContents"/>
              <w:bidi w:val="0"/>
              <w:spacing w:before="0" w:after="283"/>
              <w:jc w:val="left"/>
              <w:rPr/>
            </w:pPr>
            <w:r>
              <w:rPr/>
              <w:t> </w:t>
            </w:r>
          </w:p>
        </w:tc>
        <w:tc>
          <w:tcPr>
            <w:tcW w:w="1535" w:type="dxa"/>
            <w:tcBorders>
              <w:bottom w:val="single" w:sz="12" w:space="0" w:color="1070B8"/>
            </w:tcBorders>
            <w:tcMar>
              <w:bottom w:w="28" w:type="dxa"/>
            </w:tcMar>
            <w:vAlign w:val="center"/>
          </w:tcPr>
          <w:p>
            <w:pPr>
              <w:pStyle w:val="TableContents"/>
              <w:bidi w:val="0"/>
              <w:spacing w:before="0" w:after="283"/>
              <w:jc w:val="right"/>
              <w:rPr/>
            </w:pPr>
            <w:r>
              <w:rPr/>
              <w:t>398,227</w:t>
            </w:r>
          </w:p>
        </w:tc>
        <w:tc>
          <w:tcPr>
            <w:tcW w:w="37"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62" w:type="dxa"/>
            <w:tcBorders>
              <w:bottom w:val="single" w:sz="12" w:space="0" w:color="1070B8"/>
            </w:tcBorders>
            <w:tcMar>
              <w:bottom w:w="28" w:type="dxa"/>
            </w:tcMar>
            <w:vAlign w:val="center"/>
          </w:tcPr>
          <w:p>
            <w:pPr>
              <w:pStyle w:val="TableContents"/>
              <w:bidi w:val="0"/>
              <w:spacing w:before="0" w:after="283"/>
              <w:jc w:val="left"/>
              <w:rPr/>
            </w:pPr>
            <w:r>
              <w:rPr/>
              <w:t> </w:t>
            </w:r>
          </w:p>
        </w:tc>
        <w:tc>
          <w:tcPr>
            <w:tcW w:w="62" w:type="dxa"/>
            <w:tcBorders>
              <w:bottom w:val="single" w:sz="12" w:space="0" w:color="1070B8"/>
            </w:tcBorders>
            <w:tcMar>
              <w:bottom w:w="28" w:type="dxa"/>
            </w:tcMar>
            <w:vAlign w:val="center"/>
          </w:tcPr>
          <w:p>
            <w:pPr>
              <w:pStyle w:val="TableContents"/>
              <w:bidi w:val="0"/>
              <w:spacing w:before="0" w:after="283"/>
              <w:jc w:val="left"/>
              <w:rPr/>
            </w:pPr>
            <w:r>
              <w:rPr/>
              <w:t> </w:t>
            </w:r>
          </w:p>
        </w:tc>
        <w:tc>
          <w:tcPr>
            <w:tcW w:w="1386" w:type="dxa"/>
            <w:tcBorders>
              <w:bottom w:val="single" w:sz="12" w:space="0" w:color="1070B8"/>
            </w:tcBorders>
            <w:tcMar>
              <w:bottom w:w="28" w:type="dxa"/>
            </w:tcMar>
            <w:vAlign w:val="center"/>
          </w:tcPr>
          <w:p>
            <w:pPr>
              <w:pStyle w:val="TableContents"/>
              <w:bidi w:val="0"/>
              <w:spacing w:before="0" w:after="283"/>
              <w:jc w:val="right"/>
              <w:rPr/>
            </w:pPr>
            <w:r>
              <w:rPr/>
              <w:t>1,141,511  </w:t>
            </w:r>
          </w:p>
        </w:tc>
        <w:tc>
          <w:tcPr>
            <w:tcW w:w="39"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75"/>
        <w:gridCol w:w="290"/>
        <w:gridCol w:w="20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2090" w:type="dxa"/>
            <w:tcBorders/>
            <w:vAlign w:val="center"/>
          </w:tcPr>
          <w:p>
            <w:pPr>
              <w:pStyle w:val="TableContents"/>
              <w:bidi w:val="0"/>
              <w:spacing w:before="0" w:after="0"/>
              <w:jc w:val="left"/>
              <w:rPr>
                <w:rFonts w:ascii="arial" w:hAnsi="arial"/>
                <w:sz w:val="20"/>
              </w:rPr>
            </w:pPr>
            <w:r>
              <w:rPr>
                <w:rFonts w:ascii="arial" w:hAnsi="arial"/>
                <w:sz w:val="20"/>
              </w:rPr>
              <w:t xml:space="preserve">Effective April 1, 2024. </w:t>
            </w:r>
          </w:p>
        </w:tc>
      </w:tr>
    </w:tbl>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(2)</w:t>
            </w:r>
          </w:p>
        </w:tc>
        <w:tc>
          <w:tcPr>
            <w:tcW w:w="9893" w:type="dxa"/>
            <w:tcBorders/>
            <w:vAlign w:val="center"/>
          </w:tcPr>
          <w:p>
            <w:pPr>
              <w:pStyle w:val="TableContents"/>
              <w:bidi w:val="0"/>
              <w:spacing w:before="0" w:after="0"/>
              <w:jc w:val="left"/>
              <w:rPr>
                <w:rFonts w:ascii="arial" w:hAnsi="arial"/>
                <w:sz w:val="20"/>
              </w:rPr>
            </w:pPr>
            <w:r>
              <w:rPr>
                <w:rFonts w:ascii="arial" w:hAnsi="arial"/>
                <w:sz w:val="20"/>
              </w:rPr>
              <w:t xml:space="preserve">The earned fair value was determined by multiplying the closing price of the Company’s common stock on February 25, 2025 ($170.99) (the date of certification of the achievement of the performance metric) by the number of shares awarded. The restricted stock vests in equal installments over two years (subject to continued employment). </w:t>
            </w:r>
          </w:p>
        </w:tc>
      </w:tr>
    </w:tbl>
    <w:p>
      <w:pPr>
        <w:pStyle w:val="TextBody"/>
        <w:bidi w:val="0"/>
        <w:spacing w:before="240" w:after="0"/>
        <w:jc w:val="left"/>
        <w:rPr>
          <w:rFonts w:ascii="arial" w:hAnsi="arial"/>
          <w:color w:val="1070B8"/>
          <w:sz w:val="22"/>
        </w:rPr>
      </w:pPr>
      <w:bookmarkStart w:id="69" w:name="txc849638_9"/>
      <w:bookmarkEnd w:id="69"/>
      <w:r>
        <w:rPr>
          <w:rFonts w:ascii="arial" w:hAnsi="arial"/>
          <w:color w:val="1070B8"/>
          <w:sz w:val="22"/>
        </w:rPr>
        <w:t xml:space="preserve">2024 Target Compensation Mix </w:t>
      </w:r>
    </w:p>
    <w:p>
      <w:pPr>
        <w:pStyle w:val="TextBody"/>
        <w:bidi w:val="0"/>
        <w:spacing w:before="240" w:after="0"/>
        <w:jc w:val="left"/>
        <w:rPr>
          <w:rFonts w:ascii="arial" w:hAnsi="arial"/>
          <w:sz w:val="20"/>
        </w:rPr>
      </w:pPr>
      <w:r>
        <w:rPr>
          <w:rFonts w:ascii="arial" w:hAnsi="arial"/>
          <w:sz w:val="20"/>
        </w:rPr>
        <w:t xml:space="preserve">Our executive compensation program for 2024 consisted of three components: base salary, performance-based cash awards and performance-based restricted stock awards. The CHC Committee believes that a significant portion of each NEO’s target compensation should be at risk and based on Company performance. The graphics below reflect the mix of target executive compensation for 2024 and highlights the at-risk portion of total target compensation: </w:t>
      </w:r>
    </w:p>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4475"/>
        <w:gridCol w:w="60"/>
        <w:gridCol w:w="4475"/>
      </w:tblGrid>
      <w:tr>
        <w:trPr/>
        <w:tc>
          <w:tcPr>
            <w:tcW w:w="4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75" w:type="dxa"/>
            <w:tcBorders/>
            <w:vAlign w:val="center"/>
          </w:tcPr>
          <w:p>
            <w:pPr>
              <w:pStyle w:val="TableContents"/>
              <w:bidi w:val="0"/>
              <w:spacing w:before="0" w:after="283"/>
              <w:jc w:val="left"/>
              <w:rPr>
                <w:sz w:val="4"/>
                <w:szCs w:val="4"/>
              </w:rPr>
            </w:pPr>
            <w:r>
              <w:rPr>
                <w:sz w:val="4"/>
                <w:szCs w:val="4"/>
              </w:rPr>
            </w:r>
          </w:p>
        </w:tc>
      </w:tr>
      <w:tr>
        <w:trPr/>
        <w:tc>
          <w:tcPr>
            <w:tcW w:w="4475" w:type="dxa"/>
            <w:tcBorders>
              <w:right w:val="dashed" w:sz="6" w:space="0" w:color="1070B8"/>
            </w:tcBorders>
            <w:tcMar>
              <w:right w:w="28" w:type="dxa"/>
            </w:tcMar>
            <w:vAlign w:val="center"/>
          </w:tcPr>
          <w:p>
            <w:pPr>
              <w:pStyle w:val="TableContents"/>
              <w:bidi w:val="0"/>
              <w:spacing w:before="0" w:after="283"/>
              <w:jc w:val="center"/>
              <w:rPr/>
            </w:pPr>
            <w:r>
              <w:rPr/>
              <w:drawing>
                <wp:inline distT="0" distB="0" distL="0" distR="0">
                  <wp:extent cx="2794000" cy="1685290"/>
                  <wp:effectExtent l="0" t="0" r="0" b="0"/>
                  <wp:docPr id="8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1" descr=""/>
                          <pic:cNvPicPr>
                            <a:picLocks noChangeAspect="1" noChangeArrowheads="1"/>
                          </pic:cNvPicPr>
                        </pic:nvPicPr>
                        <pic:blipFill>
                          <a:blip r:embed="rId82"/>
                          <a:stretch>
                            <a:fillRect/>
                          </a:stretch>
                        </pic:blipFill>
                        <pic:spPr bwMode="auto">
                          <a:xfrm>
                            <a:off x="0" y="0"/>
                            <a:ext cx="2794000" cy="16852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center"/>
              <w:rPr/>
            </w:pPr>
            <w:r>
              <w:rPr/>
              <w:drawing>
                <wp:inline distT="0" distB="0" distL="0" distR="0">
                  <wp:extent cx="2794000" cy="1694815"/>
                  <wp:effectExtent l="0" t="0" r="0" b="0"/>
                  <wp:docPr id="8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2" descr=""/>
                          <pic:cNvPicPr>
                            <a:picLocks noChangeAspect="1" noChangeArrowheads="1"/>
                          </pic:cNvPicPr>
                        </pic:nvPicPr>
                        <pic:blipFill>
                          <a:blip r:embed="rId83"/>
                          <a:stretch>
                            <a:fillRect/>
                          </a:stretch>
                        </pic:blipFill>
                        <pic:spPr bwMode="auto">
                          <a:xfrm>
                            <a:off x="0" y="0"/>
                            <a:ext cx="2794000" cy="169481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1070B8"/>
          <w:sz w:val="22"/>
        </w:rPr>
      </w:pPr>
      <w:bookmarkStart w:id="70" w:name="txc849638_10"/>
      <w:bookmarkEnd w:id="70"/>
      <w:r>
        <w:rPr>
          <w:rFonts w:ascii="arial" w:hAnsi="arial"/>
          <w:color w:val="1070B8"/>
          <w:sz w:val="22"/>
        </w:rPr>
        <w:t xml:space="preserve">Key Compensation Practices for Executives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68"/>
        <w:gridCol w:w="240"/>
        <w:gridCol w:w="60"/>
        <w:gridCol w:w="60"/>
        <w:gridCol w:w="5577"/>
      </w:tblGrid>
      <w:tr>
        <w:trPr/>
        <w:tc>
          <w:tcPr>
            <w:tcW w:w="426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77" w:type="dxa"/>
            <w:tcBorders/>
            <w:vAlign w:val="center"/>
          </w:tcPr>
          <w:p>
            <w:pPr>
              <w:pStyle w:val="TableContents"/>
              <w:bidi w:val="0"/>
              <w:spacing w:before="0" w:after="283"/>
              <w:jc w:val="left"/>
              <w:rPr>
                <w:sz w:val="4"/>
                <w:szCs w:val="4"/>
              </w:rPr>
            </w:pPr>
            <w:r>
              <w:rPr>
                <w:sz w:val="4"/>
                <w:szCs w:val="4"/>
              </w:rPr>
            </w:r>
          </w:p>
        </w:tc>
      </w:tr>
      <w:tr>
        <w:trPr/>
        <w:tc>
          <w:tcPr>
            <w:tcW w:w="4268" w:type="dxa"/>
            <w:tcBorders>
              <w:bottom w:val="single" w:sz="12" w:space="0" w:color="1070B8"/>
            </w:tcBorders>
            <w:tcMar>
              <w:bottom w:w="28" w:type="dxa"/>
            </w:tcMar>
            <w:vAlign w:val="center"/>
          </w:tcPr>
          <w:p>
            <w:pPr>
              <w:pStyle w:val="TableContents"/>
              <w:bidi w:val="0"/>
              <w:spacing w:before="0" w:after="0"/>
              <w:jc w:val="center"/>
              <w:rPr>
                <w:rFonts w:ascii="arial" w:hAnsi="arial"/>
                <w:b/>
                <w:sz w:val="20"/>
              </w:rPr>
            </w:pPr>
            <w:r>
              <w:rPr>
                <w:rFonts w:ascii="arial" w:hAnsi="arial"/>
                <w:b/>
                <w:sz w:val="20"/>
              </w:rPr>
              <w:t>What We Do</w:t>
            </w:r>
          </w:p>
          <w:p>
            <w:pPr>
              <w:pStyle w:val="TableContents"/>
              <w:bidi w:val="0"/>
              <w:spacing w:before="0" w:after="20"/>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5577" w:type="dxa"/>
            <w:tcBorders>
              <w:bottom w:val="single" w:sz="12" w:space="0" w:color="1070B8"/>
            </w:tcBorders>
            <w:tcMar>
              <w:bottom w:w="28" w:type="dxa"/>
            </w:tcMar>
            <w:vAlign w:val="center"/>
          </w:tcPr>
          <w:p>
            <w:pPr>
              <w:pStyle w:val="TableContents"/>
              <w:bidi w:val="0"/>
              <w:spacing w:before="0" w:after="0"/>
              <w:jc w:val="center"/>
              <w:rPr>
                <w:rFonts w:ascii="arial" w:hAnsi="arial"/>
                <w:b/>
                <w:sz w:val="20"/>
              </w:rPr>
            </w:pPr>
            <w:r>
              <w:rPr>
                <w:rFonts w:ascii="arial" w:hAnsi="arial"/>
                <w:b/>
                <w:sz w:val="20"/>
              </w:rPr>
              <w:t>What We Don’t Do</w:t>
            </w:r>
          </w:p>
          <w:p>
            <w:pPr>
              <w:pStyle w:val="TableContents"/>
              <w:bidi w:val="0"/>
              <w:spacing w:before="0" w:after="20"/>
              <w:jc w:val="left"/>
              <w:rPr/>
            </w:pPr>
            <w:r>
              <w:rPr/>
              <w:t> </w:t>
            </w:r>
          </w:p>
        </w:tc>
      </w:tr>
      <w:tr>
        <w:trPr/>
        <w:tc>
          <w:tcPr>
            <w:tcW w:w="4268" w:type="dxa"/>
            <w:tcBorders>
              <w:bottom w:val="single" w:sz="12" w:space="0" w:color="1070B8"/>
            </w:tcBorders>
            <w:tcMar>
              <w:bottom w:w="80" w:type="dxa"/>
            </w:tcMar>
            <w:vAlign w:val="center"/>
          </w:tcPr>
          <w:p>
            <w:pPr>
              <w:pStyle w:val="TableContents"/>
              <w:bidi w:val="0"/>
              <w:spacing w:before="0" w:after="0"/>
              <w:jc w:val="left"/>
              <w:rPr/>
            </w:pPr>
            <w:r>
              <w:rPr>
                <w:color w:val="1070B8"/>
              </w:rPr>
              <w:t>✓</w:t>
            </w:r>
            <w:r>
              <w:rPr/>
              <w:t>  </w:t>
            </w:r>
            <w:r>
              <w:rPr>
                <w:rFonts w:ascii="arial" w:hAnsi="arial"/>
                <w:b/>
                <w:sz w:val="20"/>
              </w:rPr>
              <w:t>Pay for Performance</w:t>
            </w:r>
            <w:r>
              <w:rPr>
                <w:rFonts w:ascii="arial" w:hAnsi="arial"/>
                <w:sz w:val="20"/>
              </w:rPr>
              <w:t xml:space="preserve"> where a substantial percentage of compensation is based on achievement of objective pre-established performance metrics</w:t>
            </w:r>
          </w:p>
          <w:p>
            <w:pPr>
              <w:pStyle w:val="TableContents"/>
              <w:bidi w:val="0"/>
              <w:spacing w:before="0" w:after="0"/>
              <w:jc w:val="left"/>
              <w:rPr/>
            </w:pPr>
            <w:r>
              <w:rPr/>
              <w:t> </w:t>
            </w:r>
          </w:p>
          <w:p>
            <w:pPr>
              <w:pStyle w:val="TableContents"/>
              <w:bidi w:val="0"/>
              <w:spacing w:before="0" w:after="0"/>
              <w:jc w:val="left"/>
              <w:rPr/>
            </w:pPr>
            <w:r>
              <w:rPr>
                <w:color w:val="1070B8"/>
              </w:rPr>
              <w:t>✓</w:t>
            </w:r>
            <w:r>
              <w:rPr/>
              <w:t>  </w:t>
            </w:r>
            <w:r>
              <w:rPr>
                <w:rFonts w:ascii="arial" w:hAnsi="arial"/>
                <w:b/>
                <w:sz w:val="20"/>
              </w:rPr>
              <w:t xml:space="preserve">Balanced Compensation Mix </w:t>
            </w:r>
            <w:r>
              <w:rPr>
                <w:rFonts w:ascii="arial" w:hAnsi="arial"/>
                <w:sz w:val="20"/>
              </w:rPr>
              <w:t>of salary and performance-based cash bonuses and restricted stock awards</w:t>
            </w:r>
          </w:p>
          <w:p>
            <w:pPr>
              <w:pStyle w:val="TableContents"/>
              <w:bidi w:val="0"/>
              <w:spacing w:before="0" w:after="0"/>
              <w:jc w:val="left"/>
              <w:rPr/>
            </w:pPr>
            <w:r>
              <w:rPr/>
              <w:t> </w:t>
            </w:r>
          </w:p>
          <w:p>
            <w:pPr>
              <w:pStyle w:val="TableContents"/>
              <w:bidi w:val="0"/>
              <w:spacing w:before="0" w:after="0"/>
              <w:jc w:val="left"/>
              <w:rPr/>
            </w:pPr>
            <w:r>
              <w:rPr>
                <w:color w:val="1070B8"/>
              </w:rPr>
              <w:t>✓</w:t>
            </w:r>
            <w:r>
              <w:rPr/>
              <w:t>  </w:t>
            </w:r>
            <w:r>
              <w:rPr>
                <w:rFonts w:ascii="arial" w:hAnsi="arial"/>
                <w:b/>
                <w:sz w:val="20"/>
              </w:rPr>
              <w:t>Multi-year Vesting of Equity Awards</w:t>
            </w:r>
            <w:r>
              <w:rPr>
                <w:rFonts w:ascii="arial" w:hAnsi="arial"/>
                <w:sz w:val="20"/>
              </w:rPr>
              <w:t xml:space="preserve"> over a two-year period after the performance target is met</w:t>
            </w:r>
          </w:p>
          <w:p>
            <w:pPr>
              <w:pStyle w:val="TableContents"/>
              <w:bidi w:val="0"/>
              <w:spacing w:before="0" w:after="0"/>
              <w:jc w:val="left"/>
              <w:rPr/>
            </w:pPr>
            <w:r>
              <w:rPr/>
              <w:t> </w:t>
            </w:r>
          </w:p>
          <w:p>
            <w:pPr>
              <w:pStyle w:val="TableContents"/>
              <w:bidi w:val="0"/>
              <w:spacing w:before="0" w:after="0"/>
              <w:jc w:val="left"/>
              <w:rPr/>
            </w:pPr>
            <w:r>
              <w:rPr>
                <w:color w:val="1070B8"/>
              </w:rPr>
              <w:t>✓</w:t>
            </w:r>
            <w:r>
              <w:rPr/>
              <w:t>  </w:t>
            </w:r>
            <w:r>
              <w:rPr>
                <w:rFonts w:ascii="arial" w:hAnsi="arial"/>
                <w:b/>
                <w:sz w:val="20"/>
              </w:rPr>
              <w:t xml:space="preserve">Limited Perquisites </w:t>
            </w:r>
            <w:r>
              <w:rPr>
                <w:rFonts w:ascii="arial" w:hAnsi="arial"/>
                <w:sz w:val="20"/>
              </w:rPr>
              <w:t xml:space="preserve">that are not available to other salaried employees </w:t>
            </w:r>
          </w:p>
          <w:p>
            <w:pPr>
              <w:pStyle w:val="TableContents"/>
              <w:bidi w:val="0"/>
              <w:spacing w:before="0" w:after="0"/>
              <w:jc w:val="left"/>
              <w:rPr/>
            </w:pPr>
            <w:r>
              <w:rPr/>
              <w:t> </w:t>
            </w:r>
          </w:p>
          <w:p>
            <w:pPr>
              <w:pStyle w:val="TableContents"/>
              <w:bidi w:val="0"/>
              <w:spacing w:before="0" w:after="0"/>
              <w:jc w:val="left"/>
              <w:rPr/>
            </w:pPr>
            <w:r>
              <w:rPr>
                <w:color w:val="1070B8"/>
              </w:rPr>
              <w:t>✓</w:t>
            </w:r>
            <w:r>
              <w:rPr/>
              <w:t>  </w:t>
            </w:r>
            <w:r>
              <w:rPr>
                <w:rFonts w:ascii="arial" w:hAnsi="arial"/>
                <w:b/>
                <w:sz w:val="20"/>
              </w:rPr>
              <w:t xml:space="preserve">Competitive Pay </w:t>
            </w:r>
            <w:r>
              <w:rPr>
                <w:rFonts w:ascii="arial" w:hAnsi="arial"/>
                <w:sz w:val="20"/>
              </w:rPr>
              <w:t xml:space="preserve">targeted near the median of our peer group </w:t>
            </w:r>
          </w:p>
          <w:p>
            <w:pPr>
              <w:pStyle w:val="TableContents"/>
              <w:bidi w:val="0"/>
              <w:spacing w:before="0" w:after="0"/>
              <w:jc w:val="left"/>
              <w:rPr/>
            </w:pPr>
            <w:r>
              <w:rPr/>
              <w:t> </w:t>
            </w:r>
          </w:p>
          <w:p>
            <w:pPr>
              <w:pStyle w:val="TableContents"/>
              <w:bidi w:val="0"/>
              <w:spacing w:before="0" w:after="0"/>
              <w:jc w:val="left"/>
              <w:rPr/>
            </w:pPr>
            <w:r>
              <w:rPr>
                <w:color w:val="1070B8"/>
              </w:rPr>
              <w:t>✓</w:t>
            </w:r>
            <w:r>
              <w:rPr/>
              <w:t>  </w:t>
            </w:r>
            <w:r>
              <w:rPr>
                <w:rFonts w:ascii="arial" w:hAnsi="arial"/>
                <w:b/>
                <w:sz w:val="20"/>
              </w:rPr>
              <w:t xml:space="preserve">Clawback Policies </w:t>
            </w:r>
            <w:r>
              <w:rPr>
                <w:rFonts w:ascii="arial" w:hAnsi="arial"/>
                <w:sz w:val="20"/>
              </w:rPr>
              <w:t xml:space="preserve">for recovery of incentive compensation under specified circumstances </w:t>
            </w:r>
          </w:p>
          <w:p>
            <w:pPr>
              <w:pStyle w:val="TableContents"/>
              <w:bidi w:val="0"/>
              <w:spacing w:before="0" w:after="0"/>
              <w:jc w:val="left"/>
              <w:rPr/>
            </w:pPr>
            <w:r>
              <w:rPr/>
              <w:t> </w:t>
            </w:r>
          </w:p>
          <w:p>
            <w:pPr>
              <w:pStyle w:val="TableContents"/>
              <w:bidi w:val="0"/>
              <w:spacing w:before="0" w:after="0"/>
              <w:jc w:val="left"/>
              <w:rPr/>
            </w:pPr>
            <w:r>
              <w:rPr>
                <w:color w:val="1070B8"/>
              </w:rPr>
              <w:t>✓</w:t>
            </w:r>
            <w:r>
              <w:rPr/>
              <w:t>  </w:t>
            </w:r>
            <w:r>
              <w:rPr>
                <w:rFonts w:ascii="arial" w:hAnsi="arial"/>
                <w:b/>
                <w:sz w:val="20"/>
              </w:rPr>
              <w:t>Meaningful Equity Ownership Requirements</w:t>
            </w:r>
            <w:r>
              <w:rPr>
                <w:rFonts w:ascii="arial" w:hAnsi="arial"/>
                <w:sz w:val="20"/>
              </w:rPr>
              <w:t xml:space="preserve"> as a multiple of base salary </w:t>
            </w:r>
          </w:p>
          <w:p>
            <w:pPr>
              <w:pStyle w:val="TableContents"/>
              <w:bidi w:val="0"/>
              <w:spacing w:before="0" w:after="0"/>
              <w:jc w:val="left"/>
              <w:rPr/>
            </w:pPr>
            <w:r>
              <w:rPr/>
              <w:t> </w:t>
            </w:r>
          </w:p>
          <w:p>
            <w:pPr>
              <w:pStyle w:val="TableContents"/>
              <w:bidi w:val="0"/>
              <w:spacing w:before="0" w:after="20"/>
              <w:jc w:val="left"/>
              <w:rPr/>
            </w:pPr>
            <w:r>
              <w:rPr>
                <w:color w:val="1070B8"/>
              </w:rPr>
              <w:t>✓</w:t>
            </w:r>
            <w:r>
              <w:rPr/>
              <w:t>  </w:t>
            </w:r>
            <w:r>
              <w:rPr>
                <w:rFonts w:ascii="arial" w:hAnsi="arial"/>
                <w:b/>
                <w:sz w:val="20"/>
              </w:rPr>
              <w:t xml:space="preserve">Annual Say-on-Pay Vote </w:t>
            </w:r>
            <w:r>
              <w:rPr>
                <w:rFonts w:ascii="arial" w:hAnsi="arial"/>
                <w:sz w:val="20"/>
              </w:rPr>
              <w:t>on executive compensation</w:t>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5577" w:type="dxa"/>
            <w:tcBorders>
              <w:bottom w:val="single" w:sz="12" w:space="0" w:color="1070B8"/>
            </w:tcBorders>
            <w:tcMar>
              <w:bottom w:w="80" w:type="dxa"/>
            </w:tcMar>
            <w:vAlign w:val="center"/>
          </w:tcPr>
          <w:p>
            <w:pPr>
              <w:pStyle w:val="TableContents"/>
              <w:bidi w:val="0"/>
              <w:spacing w:before="0" w:after="0"/>
              <w:jc w:val="left"/>
              <w:rPr/>
            </w:pPr>
            <w:r>
              <w:rPr>
                <w:color w:val="1070B8"/>
              </w:rPr>
              <w:t>✗</w:t>
            </w:r>
            <w:r>
              <w:rPr/>
              <w:t>   </w:t>
            </w:r>
            <w:r>
              <w:rPr>
                <w:rFonts w:ascii="arial" w:hAnsi="arial"/>
                <w:b/>
                <w:sz w:val="20"/>
              </w:rPr>
              <w:t>No Tax Gross-Ups</w:t>
            </w:r>
            <w:r>
              <w:rPr>
                <w:rFonts w:ascii="arial" w:hAnsi="arial"/>
                <w:sz w:val="20"/>
              </w:rPr>
              <w:t xml:space="preserve"> for perquisites or excise taxes</w:t>
            </w:r>
          </w:p>
          <w:p>
            <w:pPr>
              <w:pStyle w:val="TableContents"/>
              <w:bidi w:val="0"/>
              <w:spacing w:before="0" w:after="0"/>
              <w:jc w:val="left"/>
              <w:rPr/>
            </w:pPr>
            <w:r>
              <w:rPr/>
              <w:t> </w:t>
            </w:r>
          </w:p>
          <w:p>
            <w:pPr>
              <w:pStyle w:val="TableContents"/>
              <w:bidi w:val="0"/>
              <w:spacing w:before="0" w:after="0"/>
              <w:jc w:val="left"/>
              <w:rPr/>
            </w:pPr>
            <w:r>
              <w:rPr>
                <w:color w:val="1070B8"/>
              </w:rPr>
              <w:t>✗</w:t>
            </w:r>
            <w:r>
              <w:rPr/>
              <w:t>   </w:t>
            </w:r>
            <w:r>
              <w:rPr>
                <w:rFonts w:ascii="arial" w:hAnsi="arial"/>
                <w:b/>
                <w:sz w:val="20"/>
              </w:rPr>
              <w:t>No Pension Plans</w:t>
            </w:r>
            <w:r>
              <w:rPr>
                <w:rFonts w:ascii="arial" w:hAnsi="arial"/>
                <w:sz w:val="20"/>
              </w:rPr>
              <w:t xml:space="preserve"> or retirement benefits that are not available to other salaried employees</w:t>
            </w:r>
          </w:p>
          <w:p>
            <w:pPr>
              <w:pStyle w:val="TableContents"/>
              <w:bidi w:val="0"/>
              <w:spacing w:before="0" w:after="0"/>
              <w:jc w:val="left"/>
              <w:rPr/>
            </w:pPr>
            <w:r>
              <w:rPr/>
              <w:t> </w:t>
            </w:r>
          </w:p>
          <w:p>
            <w:pPr>
              <w:pStyle w:val="TableContents"/>
              <w:bidi w:val="0"/>
              <w:spacing w:before="0" w:after="0"/>
              <w:jc w:val="left"/>
              <w:rPr/>
            </w:pPr>
            <w:r>
              <w:rPr>
                <w:color w:val="1070B8"/>
              </w:rPr>
              <w:t>✗</w:t>
            </w:r>
            <w:r>
              <w:rPr/>
              <w:t>   </w:t>
            </w:r>
            <w:r>
              <w:rPr>
                <w:rFonts w:ascii="arial" w:hAnsi="arial"/>
                <w:b/>
                <w:sz w:val="20"/>
              </w:rPr>
              <w:t>No Hedging</w:t>
            </w:r>
            <w:r>
              <w:rPr>
                <w:rFonts w:ascii="arial" w:hAnsi="arial"/>
                <w:sz w:val="20"/>
              </w:rPr>
              <w:t xml:space="preserve"> or other monetization transactions involving Company securities (the Board has made an exception for our CEO, see Footnote 2 in the “</w:t>
            </w:r>
            <w:r>
              <w:rPr>
                <w:rFonts w:ascii="arial" w:hAnsi="arial"/>
                <w:i/>
                <w:sz w:val="20"/>
              </w:rPr>
              <w:t>Stock Ownership Table”</w:t>
            </w:r>
            <w:r>
              <w:rPr>
                <w:rFonts w:ascii="arial" w:hAnsi="arial"/>
                <w:sz w:val="20"/>
              </w:rPr>
              <w:t xml:space="preserve"> beginning on page 79)</w:t>
            </w:r>
          </w:p>
          <w:p>
            <w:pPr>
              <w:pStyle w:val="TableContents"/>
              <w:bidi w:val="0"/>
              <w:spacing w:before="0" w:after="0"/>
              <w:jc w:val="left"/>
              <w:rPr/>
            </w:pPr>
            <w:r>
              <w:rPr/>
              <w:t> </w:t>
            </w:r>
          </w:p>
          <w:p>
            <w:pPr>
              <w:pStyle w:val="TableContents"/>
              <w:bidi w:val="0"/>
              <w:spacing w:before="0" w:after="0"/>
              <w:jc w:val="left"/>
              <w:rPr/>
            </w:pPr>
            <w:r>
              <w:rPr>
                <w:color w:val="1070B8"/>
              </w:rPr>
              <w:t>✗</w:t>
            </w:r>
            <w:r>
              <w:rPr/>
              <w:t>   </w:t>
            </w:r>
            <w:r>
              <w:rPr>
                <w:rFonts w:ascii="arial" w:hAnsi="arial"/>
                <w:b/>
                <w:sz w:val="20"/>
              </w:rPr>
              <w:t>No Short Sales</w:t>
            </w:r>
            <w:r>
              <w:rPr>
                <w:rFonts w:ascii="arial" w:hAnsi="arial"/>
                <w:sz w:val="20"/>
              </w:rPr>
              <w:t xml:space="preserve"> or other speculative transactions involving Company securities </w:t>
            </w:r>
          </w:p>
          <w:p>
            <w:pPr>
              <w:pStyle w:val="TableContents"/>
              <w:bidi w:val="0"/>
              <w:spacing w:before="0" w:after="0"/>
              <w:jc w:val="left"/>
              <w:rPr/>
            </w:pPr>
            <w:r>
              <w:rPr/>
              <w:t> </w:t>
            </w:r>
          </w:p>
          <w:p>
            <w:pPr>
              <w:pStyle w:val="TableContents"/>
              <w:bidi w:val="0"/>
              <w:spacing w:before="0" w:after="0"/>
              <w:jc w:val="left"/>
              <w:rPr/>
            </w:pPr>
            <w:r>
              <w:rPr>
                <w:color w:val="1070B8"/>
              </w:rPr>
              <w:t>✗</w:t>
            </w:r>
            <w:r>
              <w:rPr/>
              <w:t>   </w:t>
            </w:r>
            <w:r>
              <w:rPr>
                <w:rFonts w:ascii="arial" w:hAnsi="arial"/>
                <w:b/>
                <w:sz w:val="20"/>
              </w:rPr>
              <w:t>No Option Repricing</w:t>
            </w:r>
            <w:r>
              <w:rPr>
                <w:rFonts w:ascii="arial" w:hAnsi="arial"/>
                <w:sz w:val="20"/>
              </w:rPr>
              <w:t xml:space="preserve"> of underwater stock options without stockholder approval </w:t>
            </w:r>
          </w:p>
          <w:p>
            <w:pPr>
              <w:pStyle w:val="TableContents"/>
              <w:bidi w:val="0"/>
              <w:spacing w:before="0" w:after="0"/>
              <w:jc w:val="left"/>
              <w:rPr/>
            </w:pPr>
            <w:r>
              <w:rPr/>
              <w:t> </w:t>
            </w:r>
          </w:p>
          <w:p>
            <w:pPr>
              <w:pStyle w:val="TableContents"/>
              <w:bidi w:val="0"/>
              <w:spacing w:before="0" w:after="0"/>
              <w:jc w:val="left"/>
              <w:rPr/>
            </w:pPr>
            <w:r>
              <w:rPr>
                <w:color w:val="1070B8"/>
              </w:rPr>
              <w:t>✗</w:t>
            </w:r>
            <w:r>
              <w:rPr/>
              <w:t>   </w:t>
            </w:r>
            <w:r>
              <w:rPr>
                <w:rFonts w:ascii="arial" w:hAnsi="arial"/>
                <w:b/>
                <w:sz w:val="20"/>
              </w:rPr>
              <w:t xml:space="preserve">No Single Trigger </w:t>
            </w:r>
            <w:r>
              <w:rPr>
                <w:rFonts w:ascii="arial" w:hAnsi="arial"/>
                <w:sz w:val="20"/>
              </w:rPr>
              <w:t>accelerated vesting of incentive awards upon a change in control without a qualifying loss of employment</w:t>
            </w:r>
          </w:p>
          <w:p>
            <w:pPr>
              <w:pStyle w:val="TableContents"/>
              <w:bidi w:val="0"/>
              <w:spacing w:before="0" w:after="0"/>
              <w:jc w:val="left"/>
              <w:rPr/>
            </w:pPr>
            <w:r>
              <w:rPr/>
              <w:t> </w:t>
            </w:r>
          </w:p>
          <w:p>
            <w:pPr>
              <w:pStyle w:val="TableContents"/>
              <w:bidi w:val="0"/>
              <w:spacing w:before="0" w:after="0"/>
              <w:jc w:val="left"/>
              <w:rPr/>
            </w:pPr>
            <w:r>
              <w:rPr>
                <w:color w:val="1070B8"/>
              </w:rPr>
              <w:t>✗</w:t>
            </w:r>
            <w:r>
              <w:rPr/>
              <w:t>   </w:t>
            </w:r>
            <w:r>
              <w:rPr>
                <w:rFonts w:ascii="arial" w:hAnsi="arial"/>
                <w:b/>
                <w:sz w:val="20"/>
              </w:rPr>
              <w:t>No Pledging</w:t>
            </w:r>
            <w:r>
              <w:rPr>
                <w:rFonts w:ascii="arial" w:hAnsi="arial"/>
                <w:sz w:val="20"/>
              </w:rPr>
              <w:t xml:space="preserve"> of Company securities as collateral or holding Company securities as collateral in a margin account (the Board has made an exception for our CEO, see Footnote 2 in the “</w:t>
            </w:r>
            <w:r>
              <w:rPr>
                <w:rFonts w:ascii="arial" w:hAnsi="arial"/>
                <w:i/>
                <w:sz w:val="20"/>
              </w:rPr>
              <w:t>Stock Ownership Table”</w:t>
            </w:r>
            <w:r>
              <w:rPr>
                <w:rFonts w:ascii="arial" w:hAnsi="arial"/>
                <w:sz w:val="20"/>
              </w:rPr>
              <w:t xml:space="preserve"> beginning on page 79)</w:t>
            </w:r>
          </w:p>
          <w:p>
            <w:pPr>
              <w:pStyle w:val="TableContents"/>
              <w:bidi w:val="0"/>
              <w:spacing w:before="0" w:after="0"/>
              <w:jc w:val="left"/>
              <w:rPr/>
            </w:pPr>
            <w:r>
              <w:rPr/>
              <w:t> </w:t>
            </w:r>
          </w:p>
          <w:p>
            <w:pPr>
              <w:pStyle w:val="TableContents"/>
              <w:bidi w:val="0"/>
              <w:spacing w:before="0" w:after="20"/>
              <w:jc w:val="left"/>
              <w:rPr/>
            </w:pPr>
            <w:r>
              <w:rPr>
                <w:color w:val="1070B8"/>
              </w:rPr>
              <w:t>✗</w:t>
            </w:r>
            <w:r>
              <w:rPr/>
              <w:t>   </w:t>
            </w:r>
            <w:r>
              <w:rPr>
                <w:rFonts w:ascii="arial" w:hAnsi="arial"/>
                <w:b/>
                <w:sz w:val="20"/>
              </w:rPr>
              <w:t xml:space="preserve">No Employment Agreements </w:t>
            </w:r>
            <w:r>
              <w:rPr>
                <w:rFonts w:ascii="arial" w:hAnsi="arial"/>
                <w:sz w:val="20"/>
              </w:rPr>
              <w:t>for our executives other than</w:t>
              <w:br/>
              <w:t>our Chief Executive Officer</w:t>
            </w:r>
          </w:p>
        </w:tc>
      </w:tr>
    </w:tbl>
    <w:p>
      <w:pPr>
        <w:pStyle w:val="TextBody"/>
        <w:bidi w:val="0"/>
        <w:spacing w:before="240" w:after="0"/>
        <w:jc w:val="left"/>
        <w:rPr>
          <w:rFonts w:ascii="arial" w:hAnsi="arial"/>
          <w:b/>
          <w:color w:val="1F295C"/>
          <w:sz w:val="24"/>
        </w:rPr>
      </w:pPr>
      <w:bookmarkStart w:id="71" w:name="toc849638_61b"/>
      <w:bookmarkEnd w:id="71"/>
      <w:r>
        <w:rPr>
          <w:rFonts w:ascii="arial" w:hAnsi="arial"/>
          <w:b/>
          <w:color w:val="1F295C"/>
          <w:sz w:val="24"/>
        </w:rPr>
        <w:t xml:space="preserve">Section 2 – How We Determine Pay </w:t>
      </w:r>
    </w:p>
    <w:p>
      <w:pPr>
        <w:pStyle w:val="TextBody"/>
        <w:bidi w:val="0"/>
        <w:spacing w:before="200" w:after="0"/>
        <w:jc w:val="left"/>
        <w:rPr>
          <w:rFonts w:ascii="arial" w:hAnsi="arial"/>
          <w:color w:val="1070B8"/>
          <w:sz w:val="22"/>
        </w:rPr>
      </w:pPr>
      <w:bookmarkStart w:id="72" w:name="txc849638_11"/>
      <w:bookmarkEnd w:id="72"/>
      <w:r>
        <w:rPr>
          <w:rFonts w:ascii="arial" w:hAnsi="arial"/>
          <w:color w:val="1070B8"/>
          <w:sz w:val="22"/>
        </w:rPr>
        <w:t xml:space="preserve">Our Philosophy </w:t>
      </w:r>
    </w:p>
    <w:p>
      <w:pPr>
        <w:pStyle w:val="TextBody"/>
        <w:bidi w:val="0"/>
        <w:spacing w:before="200" w:after="0"/>
        <w:jc w:val="left"/>
        <w:rPr>
          <w:rFonts w:ascii="arial" w:hAnsi="arial"/>
          <w:sz w:val="20"/>
        </w:rPr>
      </w:pPr>
      <w:r>
        <w:rPr>
          <w:rFonts w:ascii="arial" w:hAnsi="arial"/>
          <w:sz w:val="20"/>
        </w:rPr>
        <w:t xml:space="preserve">Our executive compensation philosophy is to provide a competitive compensation package weighted toward Company performance and aligned with our stockholders’ long-term interests. Our executive compensation program is both reflective of the strategic value of the individual’s position and designed to ensure long-term retention and motivation. Our objective is to offer compensation opportunities competitive with our peer companies with respect to overall compensation (cash and equity), allowing for differences in the Company’s size, scale and scope and the individual’s job responsibilities. </w:t>
      </w:r>
    </w:p>
    <w:p>
      <w:pPr>
        <w:pStyle w:val="TextBody"/>
        <w:bidi w:val="0"/>
        <w:spacing w:before="240" w:after="0"/>
        <w:jc w:val="left"/>
        <w:rPr>
          <w:rFonts w:ascii="arial" w:hAnsi="arial"/>
          <w:color w:val="1070B8"/>
          <w:sz w:val="22"/>
        </w:rPr>
      </w:pPr>
      <w:bookmarkStart w:id="73" w:name="txc849638_12"/>
      <w:bookmarkEnd w:id="73"/>
      <w:r>
        <w:rPr>
          <w:rFonts w:ascii="arial" w:hAnsi="arial"/>
          <w:color w:val="1070B8"/>
          <w:sz w:val="22"/>
        </w:rPr>
        <w:t xml:space="preserve">Our Goals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left"/>
              <w:rPr>
                <w:rFonts w:ascii="arial" w:hAnsi="arial"/>
                <w:sz w:val="20"/>
              </w:rPr>
            </w:pPr>
            <w:r>
              <w:rPr>
                <w:rFonts w:ascii="arial" w:hAnsi="arial"/>
                <w:sz w:val="20"/>
              </w:rPr>
              <w:t xml:space="preserve">To attract, motivate and retain exceptional executives who are critical to successful execution of the Company’s growth strategy, long-term Company performance and the creation of stockholder value. </w:t>
            </w:r>
          </w:p>
        </w:tc>
      </w:tr>
    </w:tbl>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left"/>
              <w:rPr>
                <w:rFonts w:ascii="arial" w:hAnsi="arial"/>
                <w:sz w:val="20"/>
              </w:rPr>
            </w:pPr>
            <w:r>
              <w:rPr>
                <w:rFonts w:ascii="arial" w:hAnsi="arial"/>
                <w:sz w:val="20"/>
              </w:rPr>
              <w:t xml:space="preserve">To align the interests of our executives with those of our stockholders by tying a significant amount of executive compensation to the achievement of performance metrics related to our business strategy and financial performance and to the price of our stock. </w:t>
            </w:r>
          </w:p>
        </w:tc>
      </w:tr>
    </w:tbl>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left"/>
              <w:rPr>
                <w:rFonts w:ascii="arial" w:hAnsi="arial"/>
                <w:sz w:val="20"/>
              </w:rPr>
            </w:pPr>
            <w:r>
              <w:rPr>
                <w:rFonts w:ascii="arial" w:hAnsi="arial"/>
                <w:sz w:val="20"/>
              </w:rPr>
              <w:t xml:space="preserve">To motivate our executives to perform at the highest level, to achieve our financial, operational and strategic goals and to reinforce our commitment to high-quality service, which is primarily responsible for the strength of our long-standing relationships with our customers and suppliers.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1070B8"/>
          <w:sz w:val="22"/>
        </w:rPr>
      </w:pPr>
      <w:bookmarkStart w:id="74" w:name="txc849638_13"/>
      <w:bookmarkEnd w:id="74"/>
      <w:r>
        <w:rPr>
          <w:rFonts w:ascii="arial" w:hAnsi="arial"/>
          <w:color w:val="1070B8"/>
          <w:sz w:val="22"/>
        </w:rPr>
        <w:t xml:space="preserve">Our Guiding Principles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left"/>
              <w:rPr>
                <w:rFonts w:ascii="arial" w:hAnsi="arial"/>
                <w:sz w:val="20"/>
              </w:rPr>
            </w:pPr>
            <w:r>
              <w:rPr>
                <w:rFonts w:ascii="arial" w:hAnsi="arial"/>
                <w:sz w:val="20"/>
                <w:u w:val="single"/>
              </w:rPr>
              <w:t>Pay for Performance</w:t>
            </w:r>
            <w:r>
              <w:rPr>
                <w:rFonts w:ascii="arial" w:hAnsi="arial"/>
                <w:sz w:val="20"/>
              </w:rPr>
              <w:t xml:space="preserve">. We reward our executives’ achievements by linking a significant portion of their compensation to the Company’s financial and operational performance. Our incentive compensation program has a pre-established objective performance metric that reflects strategic and operational objectives. Incentive compensation varies based on the extent to which the objective is met - if the target is not achieved at a level of at least 50%, then no incentive compensation is payable, while if the target is exceeded, executives have an opportunity to earn above-target incentive compensation, up to a maximum of 200% of target.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left"/>
              <w:rPr>
                <w:rFonts w:ascii="arial" w:hAnsi="arial"/>
                <w:sz w:val="20"/>
              </w:rPr>
            </w:pPr>
            <w:r>
              <w:rPr>
                <w:rFonts w:ascii="arial" w:hAnsi="arial"/>
                <w:sz w:val="20"/>
                <w:u w:val="single"/>
              </w:rPr>
              <w:t>Competitive Pay</w:t>
            </w:r>
            <w:r>
              <w:rPr>
                <w:rFonts w:ascii="arial" w:hAnsi="arial"/>
                <w:sz w:val="20"/>
              </w:rPr>
              <w:t xml:space="preserve">. Our compensation program is designed to attract, retain, motivate and reward top talent through pay elements that are flexible and competitive with our peers.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left"/>
              <w:rPr>
                <w:rFonts w:ascii="arial" w:hAnsi="arial"/>
                <w:sz w:val="20"/>
              </w:rPr>
            </w:pPr>
            <w:r>
              <w:rPr>
                <w:rFonts w:ascii="arial" w:hAnsi="arial"/>
                <w:sz w:val="20"/>
                <w:u w:val="single"/>
              </w:rPr>
              <w:t>Internal Pay Equity</w:t>
            </w:r>
            <w:r>
              <w:rPr>
                <w:rFonts w:ascii="arial" w:hAnsi="arial"/>
                <w:sz w:val="20"/>
              </w:rPr>
              <w:t xml:space="preserve">. We believe that internal pay equity ensures fairness and encourages a collaborative environment among our executive team. The CHC Committee reviews each NEO’s pay components and levels relative to other NEOs, considering experience, leadership role, seniority and level of responsibility.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left"/>
              <w:rPr>
                <w:rFonts w:ascii="arial" w:hAnsi="arial"/>
                <w:sz w:val="20"/>
              </w:rPr>
            </w:pPr>
            <w:r>
              <w:rPr>
                <w:rFonts w:ascii="arial" w:hAnsi="arial"/>
                <w:sz w:val="20"/>
                <w:u w:val="single"/>
              </w:rPr>
              <w:t>Aligned with Stockholders</w:t>
            </w:r>
            <w:r>
              <w:rPr>
                <w:rFonts w:ascii="arial" w:hAnsi="arial"/>
                <w:sz w:val="20"/>
              </w:rPr>
              <w:t xml:space="preserve">. A significant portion of our executives’ compensation is in the form of at-risk performance-based equity awards that, if earned, vest over an additional two years after the end of the performance period. We award restricted stock based on a number of shares, rather than a dollar value, so the value of an executive’s equity-based award fluctuates with the price of our common stock during the performance period and the two-year vesting period, which aligns the long-term interests of our executives with those of our stockholders. In furtherance of this principle, our NEOs are required to maintain levels of ownership of our common stock based upon a multiple of their salaries. </w:t>
            </w:r>
          </w:p>
        </w:tc>
      </w:tr>
    </w:tbl>
    <w:p>
      <w:pPr>
        <w:pStyle w:val="TextBody"/>
        <w:bidi w:val="0"/>
        <w:spacing w:before="240" w:after="0"/>
        <w:jc w:val="left"/>
        <w:rPr>
          <w:rFonts w:ascii="arial" w:hAnsi="arial"/>
          <w:sz w:val="20"/>
        </w:rPr>
      </w:pPr>
      <w:r>
        <w:rPr>
          <w:rFonts w:ascii="arial" w:hAnsi="arial"/>
          <w:sz w:val="20"/>
        </w:rPr>
        <w:t xml:space="preserve">The CHC Committee considers the overall mix of cash and equity compensation, annual and long-term incentives and fixed and variable pay in determining our executive compensation program. The CHC Committee does not follow any pre-established policies, guidelines or formulas for allocating compensation mix, instead retaining flexibility by determining annually what it believes is the appropriate mix of compensation elements. </w:t>
      </w:r>
    </w:p>
    <w:p>
      <w:pPr>
        <w:pStyle w:val="TextBody"/>
        <w:bidi w:val="0"/>
        <w:spacing w:before="240" w:after="0"/>
        <w:jc w:val="left"/>
        <w:rPr>
          <w:rFonts w:ascii="arial" w:hAnsi="arial"/>
          <w:color w:val="1070B8"/>
          <w:sz w:val="22"/>
        </w:rPr>
      </w:pPr>
      <w:bookmarkStart w:id="75" w:name="txc849638_14"/>
      <w:bookmarkEnd w:id="75"/>
      <w:r>
        <w:rPr>
          <w:rFonts w:ascii="arial" w:hAnsi="arial"/>
          <w:color w:val="1070B8"/>
          <w:sz w:val="22"/>
        </w:rPr>
        <w:t xml:space="preserve">Our Process </w:t>
      </w:r>
    </w:p>
    <w:p>
      <w:pPr>
        <w:pStyle w:val="TextBody"/>
        <w:bidi w:val="0"/>
        <w:spacing w:before="160" w:after="0"/>
        <w:jc w:val="left"/>
        <w:rPr>
          <w:rFonts w:ascii="arial" w:hAnsi="arial"/>
          <w:sz w:val="20"/>
        </w:rPr>
      </w:pPr>
      <w:r>
        <w:rPr>
          <w:rFonts w:ascii="arial" w:hAnsi="arial"/>
          <w:i/>
          <w:sz w:val="20"/>
          <w:u w:val="single"/>
        </w:rPr>
        <w:t>Role of the CHC Committee</w:t>
      </w:r>
      <w:r>
        <w:rPr>
          <w:rFonts w:ascii="arial" w:hAnsi="arial"/>
          <w:sz w:val="20"/>
        </w:rPr>
        <w:t xml:space="preserve">. Our CHC Committee, comprised solely of independent directors, is responsible for the establishment, implementation, administration and oversight of our executive compensation program. During its regular first quarter meeting, the CHC Committee, in consultation with our Chief Executive Officer and Chief Financial Officer, determines incentive compensation earned by our NEOs based on the prior year’s performance and finalizes base salary, performance metrics and target incentive compensation levels for the current year. Later in the year, the committee reviews materials relating to peer group composition and other information that forms the basis for future decisions. The CHC Committee sets compensation consistent with our compensation philosophy and competitive with our peers, considering a balance of information including the experience, leadership, level of responsibility and performance of the executive team. While the CHC Committee consults with management and its independent compensation consultant in determining our compensation program, final authority rests solely with the committee. For more information regarding the CHC Committee, see </w:t>
      </w:r>
      <w:r>
        <w:rPr>
          <w:rFonts w:ascii="arial" w:hAnsi="arial"/>
          <w:i/>
          <w:sz w:val="20"/>
        </w:rPr>
        <w:t xml:space="preserve">Corporate Governance – </w:t>
      </w:r>
      <w:r>
        <w:rPr>
          <w:rFonts w:ascii="arial" w:hAnsi="arial"/>
          <w:sz w:val="20"/>
        </w:rPr>
        <w:t>“</w:t>
      </w:r>
      <w:r>
        <w:rPr>
          <w:rFonts w:ascii="arial" w:hAnsi="arial"/>
          <w:i/>
          <w:sz w:val="20"/>
        </w:rPr>
        <w:t>Board Committee Oversight – CHC Committee</w:t>
      </w:r>
      <w:r>
        <w:rPr>
          <w:rFonts w:ascii="arial" w:hAnsi="arial"/>
          <w:sz w:val="20"/>
        </w:rPr>
        <w:t xml:space="preserve">.” </w:t>
      </w:r>
    </w:p>
    <w:p>
      <w:pPr>
        <w:pStyle w:val="TextBody"/>
        <w:bidi w:val="0"/>
        <w:spacing w:before="240" w:after="0"/>
        <w:jc w:val="left"/>
        <w:rPr>
          <w:rFonts w:ascii="arial" w:hAnsi="arial"/>
          <w:sz w:val="20"/>
        </w:rPr>
      </w:pPr>
      <w:r>
        <w:rPr>
          <w:rFonts w:ascii="arial" w:hAnsi="arial"/>
          <w:i/>
          <w:sz w:val="20"/>
          <w:u w:val="single"/>
        </w:rPr>
        <w:t>Role of Executives</w:t>
      </w:r>
      <w:r>
        <w:rPr>
          <w:rFonts w:ascii="arial" w:hAnsi="arial"/>
          <w:sz w:val="20"/>
        </w:rPr>
        <w:t xml:space="preserve">. In the course of determining executive compensation, the CHC Committee solicits input from management. The committee believes this input is valuable because of the Chief Executive Officer’s and Chief Financial Officer’s comprehensive knowledge of our business and financial and strategic goals. Our Chief Executive Officer and Chief Financial Officer (i) provide data, analysis and recommendations to the CHC Committee regarding the Company’s compensation programs, (ii) annually evaluate the performance of our NEOs (other than themselves) based on each individual’s performance, length of service, experience, level of responsibility and achievement of Company strategic goals, and (iii) propose to the committee the performance metrics for target incentive awards. The CHC Committee from time to time delegates certain administrative duties to management and the human resources department. </w:t>
      </w:r>
    </w:p>
    <w:p>
      <w:pPr>
        <w:pStyle w:val="TextBody"/>
        <w:bidi w:val="0"/>
        <w:spacing w:before="240" w:after="0"/>
        <w:jc w:val="left"/>
        <w:rPr>
          <w:rFonts w:ascii="arial" w:hAnsi="arial"/>
          <w:sz w:val="20"/>
        </w:rPr>
      </w:pPr>
      <w:r>
        <w:rPr>
          <w:rFonts w:ascii="arial" w:hAnsi="arial"/>
          <w:i/>
          <w:sz w:val="20"/>
          <w:u w:val="single"/>
        </w:rPr>
        <w:t>Role of Compensation Consultants</w:t>
      </w:r>
      <w:r>
        <w:rPr>
          <w:rFonts w:ascii="arial" w:hAnsi="arial"/>
          <w:sz w:val="20"/>
        </w:rPr>
        <w:t xml:space="preserve">. The CHC Committee engages Meridian Compensation Partners, LLC, (“Meridian”), as an independent consultant to assist the committee with its duties. Meridian reports directly to the committee. In July and November 2023, the CHC Committee engaged Meridian to perform a review of our executive compensation program and non-employee director compensation and to conduct market comparisons with our peer group. The committee considered Meridian’s advice in structuring our compensation program. The CHC Committee intends to engage Meridian or a similar firm to review our executive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compensation and non-employee director compensation programs approximately every two years, unless the committee determines to have a more frequent review. In connection with the engagement of Meridian, the committee considered and assessed all relevant factors, including those set forth in applicable SEC and NYSE rules, that could give rise to a potential conflict of interest. Based upon this review, the CHC Committee determined that engaging Meridian did not raise any conflict of interest. </w:t>
      </w:r>
    </w:p>
    <w:p>
      <w:pPr>
        <w:pStyle w:val="TextBody"/>
        <w:bidi w:val="0"/>
        <w:spacing w:before="240" w:after="0"/>
        <w:jc w:val="left"/>
        <w:rPr>
          <w:rFonts w:ascii="arial" w:hAnsi="arial"/>
          <w:color w:val="1070B8"/>
          <w:sz w:val="22"/>
        </w:rPr>
      </w:pPr>
      <w:bookmarkStart w:id="76" w:name="txc849638_15"/>
      <w:bookmarkEnd w:id="76"/>
      <w:r>
        <w:rPr>
          <w:rFonts w:ascii="arial" w:hAnsi="arial"/>
          <w:color w:val="1070B8"/>
          <w:sz w:val="22"/>
        </w:rPr>
        <w:t xml:space="preserve">Competitive Positioning </w:t>
      </w:r>
    </w:p>
    <w:p>
      <w:pPr>
        <w:pStyle w:val="TextBody"/>
        <w:bidi w:val="0"/>
        <w:spacing w:before="240" w:after="0"/>
        <w:jc w:val="left"/>
        <w:rPr>
          <w:rFonts w:ascii="arial" w:hAnsi="arial"/>
          <w:sz w:val="20"/>
        </w:rPr>
      </w:pPr>
      <w:r>
        <w:rPr>
          <w:rFonts w:ascii="arial" w:hAnsi="arial"/>
          <w:sz w:val="20"/>
        </w:rPr>
        <w:t xml:space="preserve">Meridian, in consultation with our management and CHC Committee, compiles reports of compensation data for executive officers and non-employee directors in our peer group. The data for executives includes base salary, target cash incentive compensation, long-term incentive awards, target total compensation and variable pay mix. Meridian compiles this data from the proxy disclosures of the peer group and from published surveys. Using the information provided by Meridian, the CHC Committee gauges the reasonableness and competitiveness of our executive compensation program. While the CHC Committee does not establish executive pay based solely on peer group data, it believes that our pay levels and practices should be within a range of competitiveness. </w:t>
      </w:r>
    </w:p>
    <w:p>
      <w:pPr>
        <w:pStyle w:val="TextBody"/>
        <w:bidi w:val="0"/>
        <w:spacing w:before="240" w:after="0"/>
        <w:jc w:val="left"/>
        <w:rPr>
          <w:rFonts w:ascii="arial" w:hAnsi="arial"/>
          <w:sz w:val="20"/>
        </w:rPr>
      </w:pPr>
      <w:r>
        <w:rPr>
          <w:rFonts w:ascii="arial" w:hAnsi="arial"/>
          <w:sz w:val="20"/>
        </w:rPr>
        <w:t xml:space="preserve">The CHC Committee reviews Meridian’s report summarizing the target total cash compensation (base salary plus target annual incentive) and target total compensation (base salary plus target annual incentive plus long-term incentive) for each of our NEOs against benchmarks at the 25th, median and 75th percentiles of the market for positions comparable to those held by each of our NEOs. For retention, motivation and competitive considerations, the CHC Committee targets each NEO’s total cash compensation and total direct compensation levels at approximately the median of the peer group. </w:t>
      </w:r>
    </w:p>
    <w:p>
      <w:pPr>
        <w:pStyle w:val="TextBody"/>
        <w:bidi w:val="0"/>
        <w:spacing w:before="240" w:after="0"/>
        <w:jc w:val="left"/>
        <w:rPr>
          <w:rFonts w:ascii="arial" w:hAnsi="arial"/>
          <w:sz w:val="20"/>
        </w:rPr>
      </w:pPr>
      <w:r>
        <w:rPr>
          <w:rFonts w:ascii="arial" w:hAnsi="arial"/>
          <w:sz w:val="20"/>
        </w:rPr>
        <w:t xml:space="preserve">To determine our peer group, Meridian recommended that the CHC Committee consider a number of factors for each potential peer company, including industry classification and business-specific characteristics (scope and products and services), size (revenue and market capitalization) and frequency of inclusion in the peer groups of other peers of the Company. The committee believes our selected peer group includes an appropriate representation of industry competitors and companies with which we compete for executive talent.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For 2024, the CHC Committee selected the following 13 companies as our peer group. Peers are periodically added or eliminated due to acquisition or size changes to maintain a balance of appropriate size, market cap, revenue, similar industry and presence as a competitor for executive talent.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8"/>
        <w:gridCol w:w="23"/>
        <w:gridCol w:w="2782"/>
        <w:gridCol w:w="23"/>
        <w:gridCol w:w="2883"/>
        <w:gridCol w:w="23"/>
        <w:gridCol w:w="52"/>
        <w:gridCol w:w="137"/>
        <w:gridCol w:w="1563"/>
        <w:gridCol w:w="91"/>
      </w:tblGrid>
      <w:tr>
        <w:trPr/>
        <w:tc>
          <w:tcPr>
            <w:tcW w:w="262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r>
      <w:tr>
        <w:trPr/>
        <w:tc>
          <w:tcPr>
            <w:tcW w:w="2628" w:type="dxa"/>
            <w:tcBorders>
              <w:bottom w:val="single" w:sz="16" w:space="0" w:color="1070B8"/>
            </w:tcBorders>
            <w:tcMar>
              <w:bottom w:w="40" w:type="dxa"/>
            </w:tcMar>
            <w:vAlign w:val="center"/>
          </w:tcPr>
          <w:p>
            <w:pPr>
              <w:pStyle w:val="TableContents"/>
              <w:bidi w:val="0"/>
              <w:spacing w:before="0" w:after="283"/>
              <w:jc w:val="center"/>
              <w:rPr>
                <w:b/>
                <w:color w:val="1F295C"/>
              </w:rPr>
            </w:pPr>
            <w:r>
              <w:rPr>
                <w:b/>
                <w:color w:val="1F295C"/>
              </w:rPr>
              <w:t>Peer Group</w:t>
            </w:r>
          </w:p>
        </w:tc>
        <w:tc>
          <w:tcPr>
            <w:tcW w:w="23" w:type="dxa"/>
            <w:tcBorders>
              <w:bottom w:val="single" w:sz="16"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6" w:space="0" w:color="1070B8"/>
            </w:tcBorders>
            <w:tcMar>
              <w:bottom w:w="40" w:type="dxa"/>
            </w:tcMar>
            <w:vAlign w:val="center"/>
          </w:tcPr>
          <w:p>
            <w:pPr>
              <w:pStyle w:val="TableContents"/>
              <w:bidi w:val="0"/>
              <w:spacing w:before="0" w:after="283"/>
              <w:jc w:val="center"/>
              <w:rPr>
                <w:color w:val="1F295C"/>
              </w:rPr>
            </w:pPr>
            <w:r>
              <w:rPr>
                <w:color w:val="1F295C"/>
              </w:rPr>
              <w:t>   </w:t>
            </w:r>
            <w:r>
              <w:rPr>
                <w:b/>
                <w:color w:val="1F295C"/>
              </w:rPr>
              <w:t>Market Cap(1)   </w:t>
              <w:br/>
              <w:t>   ($ in Millions)   </w:t>
            </w:r>
          </w:p>
        </w:tc>
        <w:tc>
          <w:tcPr>
            <w:tcW w:w="23" w:type="dxa"/>
            <w:tcBorders>
              <w:bottom w:val="single" w:sz="16"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6" w:space="0" w:color="1070B8"/>
            </w:tcBorders>
            <w:tcMar>
              <w:bottom w:w="40" w:type="dxa"/>
            </w:tcMar>
            <w:vAlign w:val="center"/>
          </w:tcPr>
          <w:p>
            <w:pPr>
              <w:pStyle w:val="TableContents"/>
              <w:bidi w:val="0"/>
              <w:spacing w:before="0" w:after="283"/>
              <w:jc w:val="center"/>
              <w:rPr>
                <w:b/>
                <w:color w:val="1F295C"/>
              </w:rPr>
            </w:pPr>
            <w:r>
              <w:rPr>
                <w:b/>
                <w:color w:val="1F295C"/>
              </w:rPr>
              <w:t>Peer Group</w:t>
            </w:r>
          </w:p>
        </w:tc>
        <w:tc>
          <w:tcPr>
            <w:tcW w:w="23" w:type="dxa"/>
            <w:tcBorders>
              <w:bottom w:val="single" w:sz="16"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843" w:type="dxa"/>
            <w:gridSpan w:val="4"/>
            <w:tcBorders>
              <w:bottom w:val="single" w:sz="16" w:space="0" w:color="1070B8"/>
            </w:tcBorders>
            <w:tcMar>
              <w:bottom w:w="40" w:type="dxa"/>
            </w:tcMar>
            <w:vAlign w:val="center"/>
          </w:tcPr>
          <w:p>
            <w:pPr>
              <w:pStyle w:val="TableContents"/>
              <w:bidi w:val="0"/>
              <w:spacing w:before="0" w:after="283"/>
              <w:jc w:val="center"/>
              <w:rPr>
                <w:b/>
                <w:color w:val="1F295C"/>
              </w:rPr>
            </w:pPr>
            <w:r>
              <w:rPr>
                <w:b/>
                <w:color w:val="1F295C"/>
              </w:rPr>
              <w:t>LTM Revenue(2)</w:t>
              <w:br/>
              <w:t> ($ in Millions) </w:t>
            </w:r>
          </w:p>
        </w:tc>
      </w:tr>
      <w:tr>
        <w:trPr/>
        <w:tc>
          <w:tcPr>
            <w:tcW w:w="2628" w:type="dxa"/>
            <w:tcBorders/>
            <w:shd w:fill="D5DBE3" w:val="clear"/>
            <w:vAlign w:val="center"/>
          </w:tcPr>
          <w:p>
            <w:pPr>
              <w:pStyle w:val="TableContents"/>
              <w:bidi w:val="0"/>
              <w:spacing w:before="0" w:after="283"/>
              <w:jc w:val="left"/>
              <w:rPr>
                <w:sz w:val="4"/>
                <w:szCs w:val="4"/>
              </w:rPr>
            </w:pPr>
            <w:r>
              <w:rPr>
                <w:sz w:val="4"/>
                <w:szCs w:val="4"/>
              </w:rPr>
            </w:r>
          </w:p>
        </w:tc>
        <w:tc>
          <w:tcPr>
            <w:tcW w:w="2805"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shd w:fill="D5DBE3" w:val="clear"/>
            <w:vAlign w:val="center"/>
          </w:tcPr>
          <w:p>
            <w:pPr>
              <w:pStyle w:val="TableContents"/>
              <w:bidi w:val="0"/>
              <w:spacing w:before="0" w:after="283"/>
              <w:jc w:val="left"/>
              <w:rPr>
                <w:sz w:val="4"/>
                <w:szCs w:val="4"/>
              </w:rPr>
            </w:pPr>
            <w:r>
              <w:rPr>
                <w:sz w:val="4"/>
                <w:szCs w:val="4"/>
              </w:rPr>
            </w:r>
          </w:p>
        </w:tc>
        <w:tc>
          <w:tcPr>
            <w:tcW w:w="1866" w:type="dxa"/>
            <w:gridSpan w:val="5"/>
            <w:tcBorders/>
            <w:vAlign w:val="center"/>
          </w:tcPr>
          <w:p>
            <w:pPr>
              <w:pStyle w:val="TableContents"/>
              <w:bidi w:val="0"/>
              <w:spacing w:before="0" w:after="283"/>
              <w:jc w:val="left"/>
              <w:rPr>
                <w:sz w:val="4"/>
                <w:szCs w:val="4"/>
              </w:rPr>
            </w:pPr>
            <w:r>
              <w:rPr>
                <w:sz w:val="4"/>
                <w:szCs w:val="4"/>
              </w:rPr>
            </w:r>
          </w:p>
        </w:tc>
      </w:tr>
      <w:tr>
        <w:trPr/>
        <w:tc>
          <w:tcPr>
            <w:tcW w:w="2628" w:type="dxa"/>
            <w:tcBorders>
              <w:bottom w:val="single" w:sz="12" w:space="0" w:color="1070B8"/>
            </w:tcBorders>
            <w:shd w:fill="D5DBE3" w:val="clear"/>
            <w:tcMar>
              <w:bottom w:w="60" w:type="dxa"/>
            </w:tcMar>
            <w:vAlign w:val="center"/>
          </w:tcPr>
          <w:p>
            <w:pPr>
              <w:pStyle w:val="TableContents"/>
              <w:bidi w:val="0"/>
              <w:spacing w:before="0" w:after="0"/>
              <w:jc w:val="left"/>
              <w:rPr/>
            </w:pPr>
            <w:r>
              <w:rPr/>
              <w:t> </w:t>
            </w:r>
            <w:r>
              <w:rPr>
                <w:rFonts w:ascii="arial" w:hAnsi="arial"/>
                <w:sz w:val="20"/>
              </w:rPr>
              <w:t>TopBuild Corp.</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2" w:space="0" w:color="1070B8"/>
            </w:tcBorders>
            <w:tcMar>
              <w:bottom w:w="60" w:type="dxa"/>
            </w:tcMar>
            <w:vAlign w:val="center"/>
          </w:tcPr>
          <w:p>
            <w:pPr>
              <w:pStyle w:val="TableContents"/>
              <w:bidi w:val="0"/>
              <w:spacing w:before="0" w:after="283"/>
              <w:jc w:val="center"/>
              <w:rPr/>
            </w:pPr>
            <w:r>
              <w:rPr/>
              <w:t>$9,185</w:t>
            </w:r>
          </w:p>
        </w:tc>
        <w:tc>
          <w:tcPr>
            <w:tcW w:w="23" w:type="dxa"/>
            <w:tcBorders>
              <w:bottom w:val="single" w:sz="12" w:space="0" w:color="1070B8"/>
            </w:tcBorders>
            <w:shd w:fill="D5DBE3"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2" w:space="0" w:color="1070B8"/>
            </w:tcBorders>
            <w:shd w:fill="D5DBE3" w:val="clear"/>
            <w:tcMar>
              <w:bottom w:w="60" w:type="dxa"/>
            </w:tcMar>
            <w:vAlign w:val="center"/>
          </w:tcPr>
          <w:p>
            <w:pPr>
              <w:pStyle w:val="TableContents"/>
              <w:bidi w:val="0"/>
              <w:spacing w:before="0" w:after="283"/>
              <w:jc w:val="left"/>
              <w:rPr/>
            </w:pPr>
            <w:r>
              <w:rPr/>
              <w:t> </w:t>
            </w:r>
            <w:r>
              <w:rPr/>
              <w:t>Meritage Homes Corporation</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2" w:space="0" w:color="1070B8"/>
            </w:tcBorders>
            <w:tcMar>
              <w:bottom w:w="60" w:type="dxa"/>
            </w:tcMar>
            <w:vAlign w:val="center"/>
          </w:tcPr>
          <w:p>
            <w:pPr>
              <w:pStyle w:val="TableContents"/>
              <w:bidi w:val="0"/>
              <w:spacing w:before="0" w:after="283"/>
              <w:jc w:val="left"/>
              <w:rPr/>
            </w:pPr>
            <w:r>
              <w:rPr/>
              <w:t> </w:t>
            </w:r>
          </w:p>
        </w:tc>
        <w:tc>
          <w:tcPr>
            <w:tcW w:w="1563" w:type="dxa"/>
            <w:tcBorders>
              <w:bottom w:val="single" w:sz="12" w:space="0" w:color="1070B8"/>
            </w:tcBorders>
            <w:tcMar>
              <w:bottom w:w="60" w:type="dxa"/>
            </w:tcMar>
            <w:vAlign w:val="center"/>
          </w:tcPr>
          <w:p>
            <w:pPr>
              <w:pStyle w:val="TableContents"/>
              <w:bidi w:val="0"/>
              <w:spacing w:before="0" w:after="283"/>
              <w:jc w:val="center"/>
              <w:rPr/>
            </w:pPr>
            <w:r>
              <w:rPr/>
              <w:t>$6,393</w:t>
            </w:r>
          </w:p>
        </w:tc>
        <w:tc>
          <w:tcPr>
            <w:tcW w:w="91" w:type="dxa"/>
            <w:tcBorders>
              <w:bottom w:val="single" w:sz="12" w:space="0" w:color="1070B8"/>
            </w:tcBorders>
            <w:tcMar>
              <w:bottom w:w="60" w:type="dxa"/>
            </w:tcMar>
            <w:vAlign w:val="center"/>
          </w:tcPr>
          <w:p>
            <w:pPr>
              <w:pStyle w:val="TableContents"/>
              <w:bidi w:val="0"/>
              <w:spacing w:before="0" w:after="283"/>
              <w:jc w:val="left"/>
              <w:rPr>
                <w:sz w:val="4"/>
                <w:szCs w:val="4"/>
              </w:rPr>
            </w:pPr>
            <w:r>
              <w:rPr>
                <w:sz w:val="4"/>
                <w:szCs w:val="4"/>
              </w:rPr>
            </w:r>
          </w:p>
        </w:tc>
      </w:tr>
      <w:tr>
        <w:trPr/>
        <w:tc>
          <w:tcPr>
            <w:tcW w:w="2628" w:type="dxa"/>
            <w:tcBorders/>
            <w:shd w:fill="D5DBE3" w:val="clear"/>
            <w:vAlign w:val="center"/>
          </w:tcPr>
          <w:p>
            <w:pPr>
              <w:pStyle w:val="TableContents"/>
              <w:bidi w:val="0"/>
              <w:spacing w:before="0" w:after="283"/>
              <w:jc w:val="left"/>
              <w:rPr>
                <w:sz w:val="4"/>
                <w:szCs w:val="4"/>
              </w:rPr>
            </w:pPr>
            <w:r>
              <w:rPr>
                <w:sz w:val="4"/>
                <w:szCs w:val="4"/>
              </w:rPr>
            </w:r>
          </w:p>
        </w:tc>
        <w:tc>
          <w:tcPr>
            <w:tcW w:w="2805"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shd w:fill="D5DBE3" w:val="clear"/>
            <w:vAlign w:val="center"/>
          </w:tcPr>
          <w:p>
            <w:pPr>
              <w:pStyle w:val="TableContents"/>
              <w:bidi w:val="0"/>
              <w:spacing w:before="0" w:after="283"/>
              <w:jc w:val="left"/>
              <w:rPr>
                <w:sz w:val="4"/>
                <w:szCs w:val="4"/>
              </w:rPr>
            </w:pPr>
            <w:r>
              <w:rPr>
                <w:sz w:val="4"/>
                <w:szCs w:val="4"/>
              </w:rPr>
            </w:r>
          </w:p>
        </w:tc>
        <w:tc>
          <w:tcPr>
            <w:tcW w:w="1866" w:type="dxa"/>
            <w:gridSpan w:val="5"/>
            <w:tcBorders/>
            <w:vAlign w:val="center"/>
          </w:tcPr>
          <w:p>
            <w:pPr>
              <w:pStyle w:val="TableContents"/>
              <w:bidi w:val="0"/>
              <w:spacing w:before="0" w:after="283"/>
              <w:jc w:val="left"/>
              <w:rPr>
                <w:sz w:val="4"/>
                <w:szCs w:val="4"/>
              </w:rPr>
            </w:pPr>
            <w:r>
              <w:rPr>
                <w:sz w:val="4"/>
                <w:szCs w:val="4"/>
              </w:rPr>
            </w:r>
          </w:p>
        </w:tc>
      </w:tr>
      <w:tr>
        <w:trPr/>
        <w:tc>
          <w:tcPr>
            <w:tcW w:w="2628" w:type="dxa"/>
            <w:tcBorders>
              <w:bottom w:val="single" w:sz="12" w:space="0" w:color="1070B8"/>
            </w:tcBorders>
            <w:shd w:fill="D5DBE3" w:val="clear"/>
            <w:tcMar>
              <w:bottom w:w="60" w:type="dxa"/>
            </w:tcMar>
            <w:vAlign w:val="center"/>
          </w:tcPr>
          <w:p>
            <w:pPr>
              <w:pStyle w:val="TableContents"/>
              <w:bidi w:val="0"/>
              <w:spacing w:before="0" w:after="0"/>
              <w:jc w:val="left"/>
              <w:rPr/>
            </w:pPr>
            <w:r>
              <w:rPr/>
              <w:t> </w:t>
            </w:r>
            <w:r>
              <w:rPr>
                <w:rFonts w:ascii="arial" w:hAnsi="arial"/>
                <w:sz w:val="20"/>
              </w:rPr>
              <w:t>Eagle Materials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2" w:space="0" w:color="1070B8"/>
            </w:tcBorders>
            <w:tcMar>
              <w:bottom w:w="60" w:type="dxa"/>
            </w:tcMar>
            <w:vAlign w:val="center"/>
          </w:tcPr>
          <w:p>
            <w:pPr>
              <w:pStyle w:val="TableContents"/>
              <w:bidi w:val="0"/>
              <w:spacing w:before="0" w:after="283"/>
              <w:jc w:val="center"/>
              <w:rPr/>
            </w:pPr>
            <w:r>
              <w:rPr/>
              <w:t>$8,277</w:t>
            </w:r>
          </w:p>
        </w:tc>
        <w:tc>
          <w:tcPr>
            <w:tcW w:w="23" w:type="dxa"/>
            <w:tcBorders>
              <w:bottom w:val="single" w:sz="12" w:space="0" w:color="1070B8"/>
            </w:tcBorders>
            <w:shd w:fill="D5DBE3"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2" w:space="0" w:color="1070B8"/>
            </w:tcBorders>
            <w:shd w:fill="D5DBE3" w:val="clear"/>
            <w:tcMar>
              <w:bottom w:w="60" w:type="dxa"/>
            </w:tcMar>
            <w:vAlign w:val="center"/>
          </w:tcPr>
          <w:p>
            <w:pPr>
              <w:pStyle w:val="TableContents"/>
              <w:bidi w:val="0"/>
              <w:spacing w:before="0" w:after="283"/>
              <w:jc w:val="left"/>
              <w:rPr/>
            </w:pPr>
            <w:r>
              <w:rPr/>
              <w:t> </w:t>
            </w:r>
            <w:r>
              <w:rPr/>
              <w:t>TopBuild Corp.</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2" w:space="0" w:color="1070B8"/>
            </w:tcBorders>
            <w:tcMar>
              <w:bottom w:w="60" w:type="dxa"/>
            </w:tcMar>
            <w:vAlign w:val="center"/>
          </w:tcPr>
          <w:p>
            <w:pPr>
              <w:pStyle w:val="TableContents"/>
              <w:bidi w:val="0"/>
              <w:spacing w:before="0" w:after="283"/>
              <w:jc w:val="left"/>
              <w:rPr/>
            </w:pPr>
            <w:r>
              <w:rPr/>
              <w:t> </w:t>
            </w:r>
          </w:p>
        </w:tc>
        <w:tc>
          <w:tcPr>
            <w:tcW w:w="1563" w:type="dxa"/>
            <w:tcBorders>
              <w:bottom w:val="single" w:sz="12" w:space="0" w:color="1070B8"/>
            </w:tcBorders>
            <w:tcMar>
              <w:bottom w:w="60" w:type="dxa"/>
            </w:tcMar>
            <w:vAlign w:val="center"/>
          </w:tcPr>
          <w:p>
            <w:pPr>
              <w:pStyle w:val="TableContents"/>
              <w:bidi w:val="0"/>
              <w:spacing w:before="0" w:after="283"/>
              <w:jc w:val="center"/>
              <w:rPr/>
            </w:pPr>
            <w:r>
              <w:rPr/>
              <w:t>$5,330</w:t>
            </w:r>
          </w:p>
        </w:tc>
        <w:tc>
          <w:tcPr>
            <w:tcW w:w="91" w:type="dxa"/>
            <w:tcBorders>
              <w:bottom w:val="single" w:sz="12" w:space="0" w:color="1070B8"/>
            </w:tcBorders>
            <w:tcMar>
              <w:bottom w:w="60" w:type="dxa"/>
            </w:tcMar>
            <w:vAlign w:val="center"/>
          </w:tcPr>
          <w:p>
            <w:pPr>
              <w:pStyle w:val="TableContents"/>
              <w:bidi w:val="0"/>
              <w:spacing w:before="0" w:after="283"/>
              <w:jc w:val="left"/>
              <w:rPr>
                <w:sz w:val="4"/>
                <w:szCs w:val="4"/>
              </w:rPr>
            </w:pPr>
            <w:r>
              <w:rPr>
                <w:sz w:val="4"/>
                <w:szCs w:val="4"/>
              </w:rPr>
            </w:r>
          </w:p>
        </w:tc>
      </w:tr>
      <w:tr>
        <w:trPr/>
        <w:tc>
          <w:tcPr>
            <w:tcW w:w="2628" w:type="dxa"/>
            <w:tcBorders/>
            <w:shd w:fill="D5DBE3" w:val="clear"/>
            <w:vAlign w:val="center"/>
          </w:tcPr>
          <w:p>
            <w:pPr>
              <w:pStyle w:val="TableContents"/>
              <w:bidi w:val="0"/>
              <w:spacing w:before="0" w:after="283"/>
              <w:jc w:val="left"/>
              <w:rPr>
                <w:sz w:val="4"/>
                <w:szCs w:val="4"/>
              </w:rPr>
            </w:pPr>
            <w:r>
              <w:rPr>
                <w:sz w:val="4"/>
                <w:szCs w:val="4"/>
              </w:rPr>
            </w:r>
          </w:p>
        </w:tc>
        <w:tc>
          <w:tcPr>
            <w:tcW w:w="2805"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shd w:fill="D5DBE3" w:val="clear"/>
            <w:vAlign w:val="center"/>
          </w:tcPr>
          <w:p>
            <w:pPr>
              <w:pStyle w:val="TableContents"/>
              <w:bidi w:val="0"/>
              <w:spacing w:before="0" w:after="283"/>
              <w:jc w:val="left"/>
              <w:rPr>
                <w:sz w:val="4"/>
                <w:szCs w:val="4"/>
              </w:rPr>
            </w:pPr>
            <w:r>
              <w:rPr>
                <w:sz w:val="4"/>
                <w:szCs w:val="4"/>
              </w:rPr>
            </w:r>
          </w:p>
        </w:tc>
        <w:tc>
          <w:tcPr>
            <w:tcW w:w="1866" w:type="dxa"/>
            <w:gridSpan w:val="5"/>
            <w:tcBorders/>
            <w:vAlign w:val="center"/>
          </w:tcPr>
          <w:p>
            <w:pPr>
              <w:pStyle w:val="TableContents"/>
              <w:bidi w:val="0"/>
              <w:spacing w:before="0" w:after="283"/>
              <w:jc w:val="left"/>
              <w:rPr>
                <w:sz w:val="4"/>
                <w:szCs w:val="4"/>
              </w:rPr>
            </w:pPr>
            <w:r>
              <w:rPr>
                <w:sz w:val="4"/>
                <w:szCs w:val="4"/>
              </w:rPr>
            </w:r>
          </w:p>
        </w:tc>
      </w:tr>
      <w:tr>
        <w:trPr/>
        <w:tc>
          <w:tcPr>
            <w:tcW w:w="2628" w:type="dxa"/>
            <w:tcBorders>
              <w:bottom w:val="single" w:sz="12" w:space="0" w:color="1070B8"/>
            </w:tcBorders>
            <w:shd w:fill="D5DBE3" w:val="clear"/>
            <w:tcMar>
              <w:bottom w:w="60" w:type="dxa"/>
            </w:tcMar>
            <w:vAlign w:val="center"/>
          </w:tcPr>
          <w:p>
            <w:pPr>
              <w:pStyle w:val="TableContents"/>
              <w:bidi w:val="0"/>
              <w:spacing w:before="0" w:after="0"/>
              <w:jc w:val="left"/>
              <w:rPr/>
            </w:pPr>
            <w:r>
              <w:rPr/>
              <w:t> </w:t>
            </w:r>
            <w:r>
              <w:rPr>
                <w:rFonts w:ascii="arial" w:hAnsi="arial"/>
                <w:sz w:val="20"/>
              </w:rPr>
              <w:t>Simpson Manufacturing Co.,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2" w:space="0" w:color="1070B8"/>
            </w:tcBorders>
            <w:tcMar>
              <w:bottom w:w="60" w:type="dxa"/>
            </w:tcMar>
            <w:vAlign w:val="center"/>
          </w:tcPr>
          <w:p>
            <w:pPr>
              <w:pStyle w:val="TableContents"/>
              <w:bidi w:val="0"/>
              <w:spacing w:before="0" w:after="283"/>
              <w:jc w:val="center"/>
              <w:rPr/>
            </w:pPr>
            <w:r>
              <w:rPr/>
              <w:t>$6,992</w:t>
            </w:r>
          </w:p>
        </w:tc>
        <w:tc>
          <w:tcPr>
            <w:tcW w:w="23" w:type="dxa"/>
            <w:tcBorders>
              <w:bottom w:val="single" w:sz="12" w:space="0" w:color="1070B8"/>
            </w:tcBorders>
            <w:shd w:fill="D5DBE3"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2" w:space="0" w:color="1070B8"/>
            </w:tcBorders>
            <w:shd w:fill="D5DBE3" w:val="clear"/>
            <w:tcMar>
              <w:bottom w:w="60" w:type="dxa"/>
            </w:tcMar>
            <w:vAlign w:val="center"/>
          </w:tcPr>
          <w:p>
            <w:pPr>
              <w:pStyle w:val="TableContents"/>
              <w:bidi w:val="0"/>
              <w:spacing w:before="0" w:after="283"/>
              <w:jc w:val="left"/>
              <w:rPr/>
            </w:pPr>
            <w:r>
              <w:rPr/>
              <w:t> </w:t>
            </w:r>
            <w:r>
              <w:rPr/>
              <w:t>M/I Homes,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2" w:space="0" w:color="1070B8"/>
            </w:tcBorders>
            <w:tcMar>
              <w:bottom w:w="60" w:type="dxa"/>
            </w:tcMar>
            <w:vAlign w:val="center"/>
          </w:tcPr>
          <w:p>
            <w:pPr>
              <w:pStyle w:val="TableContents"/>
              <w:bidi w:val="0"/>
              <w:spacing w:before="0" w:after="283"/>
              <w:jc w:val="left"/>
              <w:rPr/>
            </w:pPr>
            <w:r>
              <w:rPr/>
              <w:t> </w:t>
            </w:r>
          </w:p>
        </w:tc>
        <w:tc>
          <w:tcPr>
            <w:tcW w:w="1563" w:type="dxa"/>
            <w:tcBorders>
              <w:bottom w:val="single" w:sz="12" w:space="0" w:color="1070B8"/>
            </w:tcBorders>
            <w:tcMar>
              <w:bottom w:w="60" w:type="dxa"/>
            </w:tcMar>
            <w:vAlign w:val="center"/>
          </w:tcPr>
          <w:p>
            <w:pPr>
              <w:pStyle w:val="TableContents"/>
              <w:bidi w:val="0"/>
              <w:spacing w:before="0" w:after="283"/>
              <w:jc w:val="center"/>
              <w:rPr/>
            </w:pPr>
            <w:r>
              <w:rPr/>
              <w:t>$4,505</w:t>
            </w:r>
          </w:p>
        </w:tc>
        <w:tc>
          <w:tcPr>
            <w:tcW w:w="91" w:type="dxa"/>
            <w:tcBorders>
              <w:bottom w:val="single" w:sz="12" w:space="0" w:color="1070B8"/>
            </w:tcBorders>
            <w:tcMar>
              <w:bottom w:w="60" w:type="dxa"/>
            </w:tcMar>
            <w:vAlign w:val="center"/>
          </w:tcPr>
          <w:p>
            <w:pPr>
              <w:pStyle w:val="TableContents"/>
              <w:bidi w:val="0"/>
              <w:spacing w:before="0" w:after="283"/>
              <w:jc w:val="left"/>
              <w:rPr>
                <w:sz w:val="4"/>
                <w:szCs w:val="4"/>
              </w:rPr>
            </w:pPr>
            <w:r>
              <w:rPr>
                <w:sz w:val="4"/>
                <w:szCs w:val="4"/>
              </w:rPr>
            </w:r>
          </w:p>
        </w:tc>
      </w:tr>
      <w:tr>
        <w:trPr/>
        <w:tc>
          <w:tcPr>
            <w:tcW w:w="2628" w:type="dxa"/>
            <w:tcBorders/>
            <w:shd w:fill="D5DBE3" w:val="clear"/>
            <w:vAlign w:val="center"/>
          </w:tcPr>
          <w:p>
            <w:pPr>
              <w:pStyle w:val="TableContents"/>
              <w:bidi w:val="0"/>
              <w:spacing w:before="0" w:after="283"/>
              <w:jc w:val="left"/>
              <w:rPr>
                <w:sz w:val="4"/>
                <w:szCs w:val="4"/>
              </w:rPr>
            </w:pPr>
            <w:r>
              <w:rPr>
                <w:sz w:val="4"/>
                <w:szCs w:val="4"/>
              </w:rPr>
            </w:r>
          </w:p>
        </w:tc>
        <w:tc>
          <w:tcPr>
            <w:tcW w:w="2805"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shd w:fill="D5DBE3" w:val="clear"/>
            <w:vAlign w:val="center"/>
          </w:tcPr>
          <w:p>
            <w:pPr>
              <w:pStyle w:val="TableContents"/>
              <w:bidi w:val="0"/>
              <w:spacing w:before="0" w:after="283"/>
              <w:jc w:val="left"/>
              <w:rPr>
                <w:sz w:val="4"/>
                <w:szCs w:val="4"/>
              </w:rPr>
            </w:pPr>
            <w:r>
              <w:rPr>
                <w:sz w:val="4"/>
                <w:szCs w:val="4"/>
              </w:rPr>
            </w:r>
          </w:p>
        </w:tc>
        <w:tc>
          <w:tcPr>
            <w:tcW w:w="1866" w:type="dxa"/>
            <w:gridSpan w:val="5"/>
            <w:tcBorders/>
            <w:vAlign w:val="center"/>
          </w:tcPr>
          <w:p>
            <w:pPr>
              <w:pStyle w:val="TableContents"/>
              <w:bidi w:val="0"/>
              <w:spacing w:before="0" w:after="283"/>
              <w:jc w:val="left"/>
              <w:rPr>
                <w:sz w:val="4"/>
                <w:szCs w:val="4"/>
              </w:rPr>
            </w:pPr>
            <w:r>
              <w:rPr>
                <w:sz w:val="4"/>
                <w:szCs w:val="4"/>
              </w:rPr>
            </w:r>
          </w:p>
        </w:tc>
      </w:tr>
      <w:tr>
        <w:trPr/>
        <w:tc>
          <w:tcPr>
            <w:tcW w:w="2628" w:type="dxa"/>
            <w:tcBorders>
              <w:bottom w:val="single" w:sz="12" w:space="0" w:color="1070B8"/>
            </w:tcBorders>
            <w:shd w:fill="D5DBE3" w:val="clear"/>
            <w:tcMar>
              <w:bottom w:w="60" w:type="dxa"/>
            </w:tcMar>
            <w:vAlign w:val="center"/>
          </w:tcPr>
          <w:p>
            <w:pPr>
              <w:pStyle w:val="TableContents"/>
              <w:bidi w:val="0"/>
              <w:spacing w:before="0" w:after="0"/>
              <w:jc w:val="left"/>
              <w:rPr/>
            </w:pPr>
            <w:r>
              <w:rPr/>
              <w:t> </w:t>
            </w:r>
            <w:r>
              <w:rPr>
                <w:rFonts w:ascii="arial" w:hAnsi="arial"/>
                <w:sz w:val="20"/>
              </w:rPr>
              <w:t>Meritage Homes Corporation</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2" w:space="0" w:color="1070B8"/>
            </w:tcBorders>
            <w:tcMar>
              <w:bottom w:w="60" w:type="dxa"/>
            </w:tcMar>
            <w:vAlign w:val="center"/>
          </w:tcPr>
          <w:p>
            <w:pPr>
              <w:pStyle w:val="TableContents"/>
              <w:bidi w:val="0"/>
              <w:spacing w:before="0" w:after="283"/>
              <w:jc w:val="center"/>
              <w:rPr/>
            </w:pPr>
            <w:r>
              <w:rPr/>
              <w:t>$5,565</w:t>
            </w:r>
          </w:p>
        </w:tc>
        <w:tc>
          <w:tcPr>
            <w:tcW w:w="23" w:type="dxa"/>
            <w:tcBorders>
              <w:bottom w:val="single" w:sz="12" w:space="0" w:color="1070B8"/>
            </w:tcBorders>
            <w:shd w:fill="D5DBE3"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2" w:space="0" w:color="1070B8"/>
            </w:tcBorders>
            <w:shd w:fill="D5DBE3" w:val="clear"/>
            <w:tcMar>
              <w:bottom w:w="60" w:type="dxa"/>
            </w:tcMar>
            <w:vAlign w:val="center"/>
          </w:tcPr>
          <w:p>
            <w:pPr>
              <w:pStyle w:val="TableContents"/>
              <w:bidi w:val="0"/>
              <w:spacing w:before="0" w:after="283"/>
              <w:jc w:val="left"/>
              <w:rPr/>
            </w:pPr>
            <w:r>
              <w:rPr/>
              <w:t> </w:t>
            </w:r>
            <w:r>
              <w:rPr/>
              <w:t>Tri Pointe Homes,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2" w:space="0" w:color="1070B8"/>
            </w:tcBorders>
            <w:tcMar>
              <w:bottom w:w="60" w:type="dxa"/>
            </w:tcMar>
            <w:vAlign w:val="center"/>
          </w:tcPr>
          <w:p>
            <w:pPr>
              <w:pStyle w:val="TableContents"/>
              <w:bidi w:val="0"/>
              <w:spacing w:before="0" w:after="283"/>
              <w:jc w:val="left"/>
              <w:rPr/>
            </w:pPr>
            <w:r>
              <w:rPr/>
              <w:t> </w:t>
            </w:r>
          </w:p>
        </w:tc>
        <w:tc>
          <w:tcPr>
            <w:tcW w:w="1563" w:type="dxa"/>
            <w:tcBorders>
              <w:bottom w:val="single" w:sz="12" w:space="0" w:color="1070B8"/>
            </w:tcBorders>
            <w:tcMar>
              <w:bottom w:w="60" w:type="dxa"/>
            </w:tcMar>
            <w:vAlign w:val="center"/>
          </w:tcPr>
          <w:p>
            <w:pPr>
              <w:pStyle w:val="TableContents"/>
              <w:bidi w:val="0"/>
              <w:spacing w:before="0" w:after="283"/>
              <w:jc w:val="center"/>
              <w:rPr/>
            </w:pPr>
            <w:r>
              <w:rPr/>
              <w:t>$4,493</w:t>
            </w:r>
          </w:p>
        </w:tc>
        <w:tc>
          <w:tcPr>
            <w:tcW w:w="91" w:type="dxa"/>
            <w:tcBorders>
              <w:bottom w:val="single" w:sz="12" w:space="0" w:color="1070B8"/>
            </w:tcBorders>
            <w:tcMar>
              <w:bottom w:w="60" w:type="dxa"/>
            </w:tcMar>
            <w:vAlign w:val="center"/>
          </w:tcPr>
          <w:p>
            <w:pPr>
              <w:pStyle w:val="TableContents"/>
              <w:bidi w:val="0"/>
              <w:spacing w:before="0" w:after="283"/>
              <w:jc w:val="left"/>
              <w:rPr>
                <w:sz w:val="4"/>
                <w:szCs w:val="4"/>
              </w:rPr>
            </w:pPr>
            <w:r>
              <w:rPr>
                <w:sz w:val="4"/>
                <w:szCs w:val="4"/>
              </w:rPr>
            </w:r>
          </w:p>
        </w:tc>
      </w:tr>
      <w:tr>
        <w:trPr/>
        <w:tc>
          <w:tcPr>
            <w:tcW w:w="2628" w:type="dxa"/>
            <w:tcBorders/>
            <w:shd w:fill="D5DBE3" w:val="clear"/>
            <w:vAlign w:val="center"/>
          </w:tcPr>
          <w:p>
            <w:pPr>
              <w:pStyle w:val="TableContents"/>
              <w:bidi w:val="0"/>
              <w:spacing w:before="0" w:after="283"/>
              <w:jc w:val="left"/>
              <w:rPr>
                <w:sz w:val="4"/>
                <w:szCs w:val="4"/>
              </w:rPr>
            </w:pPr>
            <w:r>
              <w:rPr>
                <w:sz w:val="4"/>
                <w:szCs w:val="4"/>
              </w:rPr>
            </w:r>
          </w:p>
        </w:tc>
        <w:tc>
          <w:tcPr>
            <w:tcW w:w="2805"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shd w:fill="D5DBE3" w:val="clear"/>
            <w:vAlign w:val="center"/>
          </w:tcPr>
          <w:p>
            <w:pPr>
              <w:pStyle w:val="TableContents"/>
              <w:bidi w:val="0"/>
              <w:spacing w:before="0" w:after="283"/>
              <w:jc w:val="left"/>
              <w:rPr>
                <w:sz w:val="4"/>
                <w:szCs w:val="4"/>
              </w:rPr>
            </w:pPr>
            <w:r>
              <w:rPr>
                <w:sz w:val="4"/>
                <w:szCs w:val="4"/>
              </w:rPr>
            </w:r>
          </w:p>
        </w:tc>
        <w:tc>
          <w:tcPr>
            <w:tcW w:w="1866" w:type="dxa"/>
            <w:gridSpan w:val="5"/>
            <w:tcBorders/>
            <w:vAlign w:val="center"/>
          </w:tcPr>
          <w:p>
            <w:pPr>
              <w:pStyle w:val="TableContents"/>
              <w:bidi w:val="0"/>
              <w:spacing w:before="0" w:after="283"/>
              <w:jc w:val="left"/>
              <w:rPr>
                <w:sz w:val="4"/>
                <w:szCs w:val="4"/>
              </w:rPr>
            </w:pPr>
            <w:r>
              <w:rPr>
                <w:sz w:val="4"/>
                <w:szCs w:val="4"/>
              </w:rPr>
            </w:r>
          </w:p>
        </w:tc>
      </w:tr>
      <w:tr>
        <w:trPr/>
        <w:tc>
          <w:tcPr>
            <w:tcW w:w="2628" w:type="dxa"/>
            <w:tcBorders>
              <w:bottom w:val="single" w:sz="12" w:space="0" w:color="1070B8"/>
            </w:tcBorders>
            <w:shd w:fill="D5DBE3" w:val="clear"/>
            <w:tcMar>
              <w:bottom w:w="60" w:type="dxa"/>
            </w:tcMar>
            <w:vAlign w:val="center"/>
          </w:tcPr>
          <w:p>
            <w:pPr>
              <w:pStyle w:val="TableContents"/>
              <w:bidi w:val="0"/>
              <w:spacing w:before="0" w:after="0"/>
              <w:jc w:val="left"/>
              <w:rPr/>
            </w:pPr>
            <w:r>
              <w:rPr/>
              <w:t> </w:t>
            </w:r>
            <w:r>
              <w:rPr>
                <w:rFonts w:ascii="arial" w:hAnsi="arial"/>
                <w:sz w:val="20"/>
              </w:rPr>
              <w:t>Champion Homes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2" w:space="0" w:color="1070B8"/>
            </w:tcBorders>
            <w:tcMar>
              <w:bottom w:w="60" w:type="dxa"/>
            </w:tcMar>
            <w:vAlign w:val="center"/>
          </w:tcPr>
          <w:p>
            <w:pPr>
              <w:pStyle w:val="TableContents"/>
              <w:bidi w:val="0"/>
              <w:spacing w:before="0" w:after="283"/>
              <w:jc w:val="center"/>
              <w:rPr/>
            </w:pPr>
            <w:r>
              <w:rPr/>
              <w:t>$5,057</w:t>
            </w:r>
          </w:p>
        </w:tc>
        <w:tc>
          <w:tcPr>
            <w:tcW w:w="23" w:type="dxa"/>
            <w:tcBorders>
              <w:bottom w:val="single" w:sz="12" w:space="0" w:color="1070B8"/>
            </w:tcBorders>
            <w:shd w:fill="D5DBE3"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2" w:space="0" w:color="1070B8"/>
            </w:tcBorders>
            <w:shd w:fill="D5DBE3" w:val="clear"/>
            <w:tcMar>
              <w:bottom w:w="60" w:type="dxa"/>
            </w:tcMar>
            <w:vAlign w:val="center"/>
          </w:tcPr>
          <w:p>
            <w:pPr>
              <w:pStyle w:val="TableContents"/>
              <w:bidi w:val="0"/>
              <w:spacing w:before="0" w:after="283"/>
              <w:jc w:val="left"/>
              <w:rPr/>
            </w:pPr>
            <w:r>
              <w:rPr/>
              <w:t> </w:t>
            </w:r>
            <w:r>
              <w:rPr/>
              <w:t>Century Communities,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2" w:space="0" w:color="1070B8"/>
            </w:tcBorders>
            <w:tcMar>
              <w:bottom w:w="60" w:type="dxa"/>
            </w:tcMar>
            <w:vAlign w:val="center"/>
          </w:tcPr>
          <w:p>
            <w:pPr>
              <w:pStyle w:val="TableContents"/>
              <w:bidi w:val="0"/>
              <w:spacing w:before="0" w:after="283"/>
              <w:jc w:val="left"/>
              <w:rPr/>
            </w:pPr>
            <w:r>
              <w:rPr/>
              <w:t> </w:t>
            </w:r>
          </w:p>
        </w:tc>
        <w:tc>
          <w:tcPr>
            <w:tcW w:w="1563" w:type="dxa"/>
            <w:tcBorders>
              <w:bottom w:val="single" w:sz="12" w:space="0" w:color="1070B8"/>
            </w:tcBorders>
            <w:tcMar>
              <w:bottom w:w="60" w:type="dxa"/>
            </w:tcMar>
            <w:vAlign w:val="center"/>
          </w:tcPr>
          <w:p>
            <w:pPr>
              <w:pStyle w:val="TableContents"/>
              <w:bidi w:val="0"/>
              <w:spacing w:before="0" w:after="283"/>
              <w:jc w:val="center"/>
              <w:rPr/>
            </w:pPr>
            <w:r>
              <w:rPr/>
              <w:t>$4,398</w:t>
            </w:r>
          </w:p>
        </w:tc>
        <w:tc>
          <w:tcPr>
            <w:tcW w:w="91" w:type="dxa"/>
            <w:tcBorders>
              <w:bottom w:val="single" w:sz="12" w:space="0" w:color="1070B8"/>
            </w:tcBorders>
            <w:tcMar>
              <w:bottom w:w="60" w:type="dxa"/>
            </w:tcMar>
            <w:vAlign w:val="center"/>
          </w:tcPr>
          <w:p>
            <w:pPr>
              <w:pStyle w:val="TableContents"/>
              <w:bidi w:val="0"/>
              <w:spacing w:before="0" w:after="283"/>
              <w:jc w:val="left"/>
              <w:rPr>
                <w:sz w:val="4"/>
                <w:szCs w:val="4"/>
              </w:rPr>
            </w:pPr>
            <w:r>
              <w:rPr>
                <w:sz w:val="4"/>
                <w:szCs w:val="4"/>
              </w:rPr>
            </w:r>
          </w:p>
        </w:tc>
      </w:tr>
      <w:tr>
        <w:trPr/>
        <w:tc>
          <w:tcPr>
            <w:tcW w:w="2628" w:type="dxa"/>
            <w:tcBorders/>
            <w:shd w:fill="1F295C" w:val="clear"/>
            <w:vAlign w:val="center"/>
          </w:tcPr>
          <w:p>
            <w:pPr>
              <w:pStyle w:val="TableContents"/>
              <w:bidi w:val="0"/>
              <w:spacing w:before="0" w:after="283"/>
              <w:jc w:val="left"/>
              <w:rPr>
                <w:sz w:val="4"/>
                <w:szCs w:val="4"/>
              </w:rPr>
            </w:pPr>
            <w:r>
              <w:rPr>
                <w:sz w:val="4"/>
                <w:szCs w:val="4"/>
              </w:rPr>
            </w:r>
          </w:p>
        </w:tc>
        <w:tc>
          <w:tcPr>
            <w:tcW w:w="2805" w:type="dxa"/>
            <w:gridSpan w:val="2"/>
            <w:tcBorders/>
            <w:shd w:fill="1F295C" w:val="clear"/>
            <w:vAlign w:val="center"/>
          </w:tcPr>
          <w:p>
            <w:pPr>
              <w:pStyle w:val="TableContents"/>
              <w:bidi w:val="0"/>
              <w:spacing w:before="0" w:after="283"/>
              <w:jc w:val="left"/>
              <w:rPr>
                <w:sz w:val="4"/>
                <w:szCs w:val="4"/>
              </w:rPr>
            </w:pPr>
            <w:r>
              <w:rPr>
                <w:sz w:val="4"/>
                <w:szCs w:val="4"/>
              </w:rPr>
            </w:r>
          </w:p>
        </w:tc>
        <w:tc>
          <w:tcPr>
            <w:tcW w:w="2906" w:type="dxa"/>
            <w:gridSpan w:val="2"/>
            <w:tcBorders/>
            <w:shd w:fill="1F295C" w:val="clear"/>
            <w:vAlign w:val="center"/>
          </w:tcPr>
          <w:p>
            <w:pPr>
              <w:pStyle w:val="TableContents"/>
              <w:bidi w:val="0"/>
              <w:spacing w:before="0" w:after="283"/>
              <w:jc w:val="left"/>
              <w:rPr>
                <w:sz w:val="4"/>
                <w:szCs w:val="4"/>
              </w:rPr>
            </w:pPr>
            <w:r>
              <w:rPr>
                <w:sz w:val="4"/>
                <w:szCs w:val="4"/>
              </w:rPr>
            </w:r>
          </w:p>
        </w:tc>
        <w:tc>
          <w:tcPr>
            <w:tcW w:w="1866" w:type="dxa"/>
            <w:gridSpan w:val="5"/>
            <w:tcBorders/>
            <w:shd w:fill="1F295C" w:val="clear"/>
            <w:vAlign w:val="center"/>
          </w:tcPr>
          <w:p>
            <w:pPr>
              <w:pStyle w:val="TableContents"/>
              <w:bidi w:val="0"/>
              <w:spacing w:before="0" w:after="283"/>
              <w:jc w:val="left"/>
              <w:rPr>
                <w:sz w:val="4"/>
                <w:szCs w:val="4"/>
              </w:rPr>
            </w:pPr>
            <w:r>
              <w:rPr>
                <w:sz w:val="4"/>
                <w:szCs w:val="4"/>
              </w:rPr>
            </w:r>
          </w:p>
        </w:tc>
      </w:tr>
      <w:tr>
        <w:trPr/>
        <w:tc>
          <w:tcPr>
            <w:tcW w:w="2628" w:type="dxa"/>
            <w:tcBorders>
              <w:bottom w:val="single" w:sz="12" w:space="0" w:color="1070B8"/>
            </w:tcBorders>
            <w:shd w:fill="1F295C" w:val="clear"/>
            <w:tcMar>
              <w:bottom w:w="60" w:type="dxa"/>
            </w:tcMar>
            <w:vAlign w:val="center"/>
          </w:tcPr>
          <w:p>
            <w:pPr>
              <w:pStyle w:val="TableContents"/>
              <w:bidi w:val="0"/>
              <w:spacing w:before="0" w:after="0"/>
              <w:jc w:val="left"/>
              <w:rPr>
                <w:color w:val="FFFFFF"/>
              </w:rPr>
            </w:pPr>
            <w:r>
              <w:rPr>
                <w:color w:val="FFFFFF"/>
              </w:rPr>
              <w:t> </w:t>
            </w:r>
            <w:r>
              <w:rPr>
                <w:rFonts w:ascii="arial" w:hAnsi="arial"/>
                <w:color w:val="FFFFFF"/>
                <w:sz w:val="20"/>
              </w:rPr>
              <w:t>Installed Building Products, Inc.</w:t>
            </w:r>
          </w:p>
        </w:tc>
        <w:tc>
          <w:tcPr>
            <w:tcW w:w="23" w:type="dxa"/>
            <w:tcBorders>
              <w:bottom w:val="single" w:sz="12" w:space="0" w:color="1070B8"/>
            </w:tcBorders>
            <w:shd w:fill="1F295C" w:val="clear"/>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2" w:space="0" w:color="1070B8"/>
            </w:tcBorders>
            <w:shd w:fill="1F295C" w:val="clear"/>
            <w:tcMar>
              <w:bottom w:w="60" w:type="dxa"/>
            </w:tcMar>
            <w:vAlign w:val="center"/>
          </w:tcPr>
          <w:p>
            <w:pPr>
              <w:pStyle w:val="TableContents"/>
              <w:bidi w:val="0"/>
              <w:spacing w:before="0" w:after="283"/>
              <w:jc w:val="center"/>
              <w:rPr>
                <w:color w:val="FFFFFF"/>
              </w:rPr>
            </w:pPr>
            <w:r>
              <w:rPr>
                <w:color w:val="FFFFFF"/>
              </w:rPr>
              <w:t>$4,932</w:t>
            </w:r>
          </w:p>
        </w:tc>
        <w:tc>
          <w:tcPr>
            <w:tcW w:w="23" w:type="dxa"/>
            <w:tcBorders>
              <w:bottom w:val="single" w:sz="12" w:space="0" w:color="1070B8"/>
            </w:tcBorders>
            <w:shd w:fill="1F295C"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2" w:space="0" w:color="1070B8"/>
            </w:tcBorders>
            <w:shd w:fill="1F295C" w:val="clear"/>
            <w:tcMar>
              <w:bottom w:w="60" w:type="dxa"/>
            </w:tcMar>
            <w:vAlign w:val="center"/>
          </w:tcPr>
          <w:p>
            <w:pPr>
              <w:pStyle w:val="TableContents"/>
              <w:bidi w:val="0"/>
              <w:spacing w:before="0" w:after="283"/>
              <w:jc w:val="left"/>
              <w:rPr>
                <w:color w:val="FFFFFF"/>
              </w:rPr>
            </w:pPr>
            <w:r>
              <w:rPr>
                <w:color w:val="FFFFFF"/>
              </w:rPr>
              <w:t> </w:t>
            </w:r>
            <w:r>
              <w:rPr>
                <w:color w:val="FFFFFF"/>
              </w:rPr>
              <w:t>Installed Building Products, Inc.</w:t>
            </w:r>
          </w:p>
        </w:tc>
        <w:tc>
          <w:tcPr>
            <w:tcW w:w="23" w:type="dxa"/>
            <w:tcBorders>
              <w:bottom w:val="single" w:sz="12" w:space="0" w:color="1070B8"/>
            </w:tcBorders>
            <w:shd w:fill="1F295C" w:val="clear"/>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2" w:space="0" w:color="1070B8"/>
            </w:tcBorders>
            <w:shd w:fill="1F295C" w:val="clear"/>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2" w:space="0" w:color="1070B8"/>
            </w:tcBorders>
            <w:shd w:fill="1F295C" w:val="clear"/>
            <w:tcMar>
              <w:bottom w:w="60" w:type="dxa"/>
            </w:tcMar>
            <w:vAlign w:val="center"/>
          </w:tcPr>
          <w:p>
            <w:pPr>
              <w:pStyle w:val="TableContents"/>
              <w:bidi w:val="0"/>
              <w:spacing w:before="0" w:after="283"/>
              <w:jc w:val="left"/>
              <w:rPr>
                <w:color w:val="FFFFFF"/>
              </w:rPr>
            </w:pPr>
            <w:r>
              <w:rPr>
                <w:color w:val="FFFFFF"/>
              </w:rPr>
              <w:t> </w:t>
            </w:r>
          </w:p>
        </w:tc>
        <w:tc>
          <w:tcPr>
            <w:tcW w:w="1563" w:type="dxa"/>
            <w:tcBorders>
              <w:bottom w:val="single" w:sz="12" w:space="0" w:color="1070B8"/>
            </w:tcBorders>
            <w:shd w:fill="1F295C" w:val="clear"/>
            <w:tcMar>
              <w:bottom w:w="60" w:type="dxa"/>
            </w:tcMar>
            <w:vAlign w:val="center"/>
          </w:tcPr>
          <w:p>
            <w:pPr>
              <w:pStyle w:val="TableContents"/>
              <w:bidi w:val="0"/>
              <w:spacing w:before="0" w:after="283"/>
              <w:jc w:val="center"/>
              <w:rPr>
                <w:color w:val="FFFFFF"/>
              </w:rPr>
            </w:pPr>
            <w:r>
              <w:rPr>
                <w:color w:val="FFFFFF"/>
              </w:rPr>
              <w:t>$2,941</w:t>
            </w:r>
          </w:p>
        </w:tc>
        <w:tc>
          <w:tcPr>
            <w:tcW w:w="91" w:type="dxa"/>
            <w:tcBorders>
              <w:bottom w:val="single" w:sz="12" w:space="0" w:color="1070B8"/>
            </w:tcBorders>
            <w:shd w:fill="1F295C" w:val="clear"/>
            <w:tcMar>
              <w:bottom w:w="60" w:type="dxa"/>
            </w:tcMar>
            <w:vAlign w:val="center"/>
          </w:tcPr>
          <w:p>
            <w:pPr>
              <w:pStyle w:val="TableContents"/>
              <w:bidi w:val="0"/>
              <w:spacing w:before="0" w:after="283"/>
              <w:jc w:val="left"/>
              <w:rPr>
                <w:sz w:val="4"/>
                <w:szCs w:val="4"/>
              </w:rPr>
            </w:pPr>
            <w:r>
              <w:rPr>
                <w:sz w:val="4"/>
                <w:szCs w:val="4"/>
              </w:rPr>
            </w:r>
          </w:p>
        </w:tc>
      </w:tr>
      <w:tr>
        <w:trPr/>
        <w:tc>
          <w:tcPr>
            <w:tcW w:w="2628" w:type="dxa"/>
            <w:tcBorders/>
            <w:shd w:fill="D5DBE3" w:val="clear"/>
            <w:vAlign w:val="center"/>
          </w:tcPr>
          <w:p>
            <w:pPr>
              <w:pStyle w:val="TableContents"/>
              <w:bidi w:val="0"/>
              <w:spacing w:before="0" w:after="283"/>
              <w:jc w:val="left"/>
              <w:rPr>
                <w:sz w:val="4"/>
                <w:szCs w:val="4"/>
              </w:rPr>
            </w:pPr>
            <w:r>
              <w:rPr>
                <w:sz w:val="4"/>
                <w:szCs w:val="4"/>
              </w:rPr>
            </w:r>
          </w:p>
        </w:tc>
        <w:tc>
          <w:tcPr>
            <w:tcW w:w="2805"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shd w:fill="D5DBE3" w:val="clear"/>
            <w:vAlign w:val="center"/>
          </w:tcPr>
          <w:p>
            <w:pPr>
              <w:pStyle w:val="TableContents"/>
              <w:bidi w:val="0"/>
              <w:spacing w:before="0" w:after="283"/>
              <w:jc w:val="left"/>
              <w:rPr>
                <w:sz w:val="4"/>
                <w:szCs w:val="4"/>
              </w:rPr>
            </w:pPr>
            <w:r>
              <w:rPr>
                <w:sz w:val="4"/>
                <w:szCs w:val="4"/>
              </w:rPr>
            </w:r>
          </w:p>
        </w:tc>
        <w:tc>
          <w:tcPr>
            <w:tcW w:w="1866" w:type="dxa"/>
            <w:gridSpan w:val="5"/>
            <w:tcBorders/>
            <w:vAlign w:val="center"/>
          </w:tcPr>
          <w:p>
            <w:pPr>
              <w:pStyle w:val="TableContents"/>
              <w:bidi w:val="0"/>
              <w:spacing w:before="0" w:after="283"/>
              <w:jc w:val="left"/>
              <w:rPr>
                <w:sz w:val="4"/>
                <w:szCs w:val="4"/>
              </w:rPr>
            </w:pPr>
            <w:r>
              <w:rPr>
                <w:sz w:val="4"/>
                <w:szCs w:val="4"/>
              </w:rPr>
            </w:r>
          </w:p>
        </w:tc>
      </w:tr>
      <w:tr>
        <w:trPr/>
        <w:tc>
          <w:tcPr>
            <w:tcW w:w="2628" w:type="dxa"/>
            <w:tcBorders>
              <w:bottom w:val="single" w:sz="12" w:space="0" w:color="1070B8"/>
            </w:tcBorders>
            <w:shd w:fill="D5DBE3" w:val="clear"/>
            <w:tcMar>
              <w:bottom w:w="60" w:type="dxa"/>
            </w:tcMar>
            <w:vAlign w:val="center"/>
          </w:tcPr>
          <w:p>
            <w:pPr>
              <w:pStyle w:val="TableContents"/>
              <w:bidi w:val="0"/>
              <w:spacing w:before="0" w:after="0"/>
              <w:jc w:val="left"/>
              <w:rPr/>
            </w:pPr>
            <w:r>
              <w:rPr/>
              <w:t> </w:t>
            </w:r>
            <w:r>
              <w:rPr>
                <w:rFonts w:ascii="arial" w:hAnsi="arial"/>
                <w:sz w:val="20"/>
              </w:rPr>
              <w:t>Cavco Industries,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2" w:space="0" w:color="1070B8"/>
            </w:tcBorders>
            <w:tcMar>
              <w:bottom w:w="60" w:type="dxa"/>
            </w:tcMar>
            <w:vAlign w:val="center"/>
          </w:tcPr>
          <w:p>
            <w:pPr>
              <w:pStyle w:val="TableContents"/>
              <w:bidi w:val="0"/>
              <w:spacing w:before="0" w:after="283"/>
              <w:jc w:val="center"/>
              <w:rPr/>
            </w:pPr>
            <w:r>
              <w:rPr/>
              <w:t>$3,617</w:t>
            </w:r>
          </w:p>
        </w:tc>
        <w:tc>
          <w:tcPr>
            <w:tcW w:w="23" w:type="dxa"/>
            <w:tcBorders>
              <w:bottom w:val="single" w:sz="12" w:space="0" w:color="1070B8"/>
            </w:tcBorders>
            <w:shd w:fill="D5DBE3"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2" w:space="0" w:color="1070B8"/>
            </w:tcBorders>
            <w:shd w:fill="D5DBE3" w:val="clear"/>
            <w:tcMar>
              <w:bottom w:w="60" w:type="dxa"/>
            </w:tcMar>
            <w:vAlign w:val="center"/>
          </w:tcPr>
          <w:p>
            <w:pPr>
              <w:pStyle w:val="TableContents"/>
              <w:bidi w:val="0"/>
              <w:spacing w:before="0" w:after="283"/>
              <w:jc w:val="left"/>
              <w:rPr/>
            </w:pPr>
            <w:r>
              <w:rPr/>
              <w:t> </w:t>
            </w:r>
            <w:r>
              <w:rPr/>
              <w:t>Griffon Corporation</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2" w:space="0" w:color="1070B8"/>
            </w:tcBorders>
            <w:tcMar>
              <w:bottom w:w="60" w:type="dxa"/>
            </w:tcMar>
            <w:vAlign w:val="center"/>
          </w:tcPr>
          <w:p>
            <w:pPr>
              <w:pStyle w:val="TableContents"/>
              <w:bidi w:val="0"/>
              <w:spacing w:before="0" w:after="283"/>
              <w:jc w:val="left"/>
              <w:rPr/>
            </w:pPr>
            <w:r>
              <w:rPr/>
              <w:t> </w:t>
            </w:r>
          </w:p>
        </w:tc>
        <w:tc>
          <w:tcPr>
            <w:tcW w:w="1563" w:type="dxa"/>
            <w:tcBorders>
              <w:bottom w:val="single" w:sz="12" w:space="0" w:color="1070B8"/>
            </w:tcBorders>
            <w:tcMar>
              <w:bottom w:w="60" w:type="dxa"/>
            </w:tcMar>
            <w:vAlign w:val="center"/>
          </w:tcPr>
          <w:p>
            <w:pPr>
              <w:pStyle w:val="TableContents"/>
              <w:bidi w:val="0"/>
              <w:spacing w:before="0" w:after="283"/>
              <w:jc w:val="center"/>
              <w:rPr/>
            </w:pPr>
            <w:r>
              <w:rPr/>
              <w:t>$2,613</w:t>
            </w:r>
          </w:p>
        </w:tc>
        <w:tc>
          <w:tcPr>
            <w:tcW w:w="91" w:type="dxa"/>
            <w:tcBorders>
              <w:bottom w:val="single" w:sz="12" w:space="0" w:color="1070B8"/>
            </w:tcBorders>
            <w:tcMar>
              <w:bottom w:w="60" w:type="dxa"/>
            </w:tcMar>
            <w:vAlign w:val="center"/>
          </w:tcPr>
          <w:p>
            <w:pPr>
              <w:pStyle w:val="TableContents"/>
              <w:bidi w:val="0"/>
              <w:spacing w:before="0" w:after="283"/>
              <w:jc w:val="left"/>
              <w:rPr>
                <w:sz w:val="4"/>
                <w:szCs w:val="4"/>
              </w:rPr>
            </w:pPr>
            <w:r>
              <w:rPr>
                <w:sz w:val="4"/>
                <w:szCs w:val="4"/>
              </w:rPr>
            </w:r>
          </w:p>
        </w:tc>
      </w:tr>
      <w:tr>
        <w:trPr/>
        <w:tc>
          <w:tcPr>
            <w:tcW w:w="2628" w:type="dxa"/>
            <w:tcBorders/>
            <w:shd w:fill="D5DBE3" w:val="clear"/>
            <w:vAlign w:val="center"/>
          </w:tcPr>
          <w:p>
            <w:pPr>
              <w:pStyle w:val="TableContents"/>
              <w:bidi w:val="0"/>
              <w:spacing w:before="0" w:after="283"/>
              <w:jc w:val="left"/>
              <w:rPr>
                <w:sz w:val="4"/>
                <w:szCs w:val="4"/>
              </w:rPr>
            </w:pPr>
            <w:r>
              <w:rPr>
                <w:sz w:val="4"/>
                <w:szCs w:val="4"/>
              </w:rPr>
            </w:r>
          </w:p>
        </w:tc>
        <w:tc>
          <w:tcPr>
            <w:tcW w:w="2805"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shd w:fill="D5DBE3" w:val="clear"/>
            <w:vAlign w:val="center"/>
          </w:tcPr>
          <w:p>
            <w:pPr>
              <w:pStyle w:val="TableContents"/>
              <w:bidi w:val="0"/>
              <w:spacing w:before="0" w:after="283"/>
              <w:jc w:val="left"/>
              <w:rPr>
                <w:sz w:val="4"/>
                <w:szCs w:val="4"/>
              </w:rPr>
            </w:pPr>
            <w:r>
              <w:rPr>
                <w:sz w:val="4"/>
                <w:szCs w:val="4"/>
              </w:rPr>
            </w:r>
          </w:p>
        </w:tc>
        <w:tc>
          <w:tcPr>
            <w:tcW w:w="1866" w:type="dxa"/>
            <w:gridSpan w:val="5"/>
            <w:tcBorders/>
            <w:vAlign w:val="center"/>
          </w:tcPr>
          <w:p>
            <w:pPr>
              <w:pStyle w:val="TableContents"/>
              <w:bidi w:val="0"/>
              <w:spacing w:before="0" w:after="283"/>
              <w:jc w:val="left"/>
              <w:rPr>
                <w:sz w:val="4"/>
                <w:szCs w:val="4"/>
              </w:rPr>
            </w:pPr>
            <w:r>
              <w:rPr>
                <w:sz w:val="4"/>
                <w:szCs w:val="4"/>
              </w:rPr>
            </w:r>
          </w:p>
        </w:tc>
      </w:tr>
      <w:tr>
        <w:trPr/>
        <w:tc>
          <w:tcPr>
            <w:tcW w:w="2628" w:type="dxa"/>
            <w:tcBorders>
              <w:bottom w:val="single" w:sz="12" w:space="0" w:color="1070B8"/>
            </w:tcBorders>
            <w:shd w:fill="D5DBE3" w:val="clear"/>
            <w:tcMar>
              <w:bottom w:w="60" w:type="dxa"/>
            </w:tcMar>
            <w:vAlign w:val="center"/>
          </w:tcPr>
          <w:p>
            <w:pPr>
              <w:pStyle w:val="TableContents"/>
              <w:bidi w:val="0"/>
              <w:spacing w:before="0" w:after="0"/>
              <w:jc w:val="left"/>
              <w:rPr/>
            </w:pPr>
            <w:r>
              <w:rPr/>
              <w:t> </w:t>
            </w:r>
            <w:r>
              <w:rPr>
                <w:rFonts w:ascii="arial" w:hAnsi="arial"/>
                <w:sz w:val="20"/>
              </w:rPr>
              <w:t>M/I Homes,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2" w:space="0" w:color="1070B8"/>
            </w:tcBorders>
            <w:tcMar>
              <w:bottom w:w="60" w:type="dxa"/>
            </w:tcMar>
            <w:vAlign w:val="center"/>
          </w:tcPr>
          <w:p>
            <w:pPr>
              <w:pStyle w:val="TableContents"/>
              <w:bidi w:val="0"/>
              <w:spacing w:before="0" w:after="283"/>
              <w:jc w:val="center"/>
              <w:rPr/>
            </w:pPr>
            <w:r>
              <w:rPr/>
              <w:t>$3,617</w:t>
            </w:r>
          </w:p>
        </w:tc>
        <w:tc>
          <w:tcPr>
            <w:tcW w:w="23" w:type="dxa"/>
            <w:tcBorders>
              <w:bottom w:val="single" w:sz="12" w:space="0" w:color="1070B8"/>
            </w:tcBorders>
            <w:shd w:fill="D5DBE3"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2" w:space="0" w:color="1070B8"/>
            </w:tcBorders>
            <w:shd w:fill="D5DBE3" w:val="clear"/>
            <w:tcMar>
              <w:bottom w:w="60" w:type="dxa"/>
            </w:tcMar>
            <w:vAlign w:val="center"/>
          </w:tcPr>
          <w:p>
            <w:pPr>
              <w:pStyle w:val="TableContents"/>
              <w:bidi w:val="0"/>
              <w:spacing w:before="0" w:after="283"/>
              <w:jc w:val="left"/>
              <w:rPr/>
            </w:pPr>
            <w:r>
              <w:rPr/>
              <w:t> </w:t>
            </w:r>
            <w:r>
              <w:rPr/>
              <w:t>Champion Homes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2" w:space="0" w:color="1070B8"/>
            </w:tcBorders>
            <w:tcMar>
              <w:bottom w:w="60" w:type="dxa"/>
            </w:tcMar>
            <w:vAlign w:val="center"/>
          </w:tcPr>
          <w:p>
            <w:pPr>
              <w:pStyle w:val="TableContents"/>
              <w:bidi w:val="0"/>
              <w:spacing w:before="0" w:after="283"/>
              <w:jc w:val="left"/>
              <w:rPr/>
            </w:pPr>
            <w:r>
              <w:rPr/>
              <w:t> </w:t>
            </w:r>
          </w:p>
        </w:tc>
        <w:tc>
          <w:tcPr>
            <w:tcW w:w="1563" w:type="dxa"/>
            <w:tcBorders>
              <w:bottom w:val="single" w:sz="12" w:space="0" w:color="1070B8"/>
            </w:tcBorders>
            <w:tcMar>
              <w:bottom w:w="60" w:type="dxa"/>
            </w:tcMar>
            <w:vAlign w:val="center"/>
          </w:tcPr>
          <w:p>
            <w:pPr>
              <w:pStyle w:val="TableContents"/>
              <w:bidi w:val="0"/>
              <w:spacing w:before="0" w:after="283"/>
              <w:jc w:val="center"/>
              <w:rPr/>
            </w:pPr>
            <w:r>
              <w:rPr/>
              <w:t>$2,426</w:t>
            </w:r>
          </w:p>
        </w:tc>
        <w:tc>
          <w:tcPr>
            <w:tcW w:w="91" w:type="dxa"/>
            <w:tcBorders>
              <w:bottom w:val="single" w:sz="12" w:space="0" w:color="1070B8"/>
            </w:tcBorders>
            <w:tcMar>
              <w:bottom w:w="60" w:type="dxa"/>
            </w:tcMar>
            <w:vAlign w:val="center"/>
          </w:tcPr>
          <w:p>
            <w:pPr>
              <w:pStyle w:val="TableContents"/>
              <w:bidi w:val="0"/>
              <w:spacing w:before="0" w:after="283"/>
              <w:jc w:val="left"/>
              <w:rPr>
                <w:sz w:val="4"/>
                <w:szCs w:val="4"/>
              </w:rPr>
            </w:pPr>
            <w:r>
              <w:rPr>
                <w:sz w:val="4"/>
                <w:szCs w:val="4"/>
              </w:rPr>
            </w:r>
          </w:p>
        </w:tc>
      </w:tr>
      <w:tr>
        <w:trPr/>
        <w:tc>
          <w:tcPr>
            <w:tcW w:w="2628" w:type="dxa"/>
            <w:tcBorders/>
            <w:shd w:fill="D5DBE3" w:val="clear"/>
            <w:vAlign w:val="center"/>
          </w:tcPr>
          <w:p>
            <w:pPr>
              <w:pStyle w:val="TableContents"/>
              <w:bidi w:val="0"/>
              <w:spacing w:before="0" w:after="283"/>
              <w:jc w:val="left"/>
              <w:rPr>
                <w:sz w:val="4"/>
                <w:szCs w:val="4"/>
              </w:rPr>
            </w:pPr>
            <w:r>
              <w:rPr>
                <w:sz w:val="4"/>
                <w:szCs w:val="4"/>
              </w:rPr>
            </w:r>
          </w:p>
        </w:tc>
        <w:tc>
          <w:tcPr>
            <w:tcW w:w="2805"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shd w:fill="D5DBE3" w:val="clear"/>
            <w:vAlign w:val="center"/>
          </w:tcPr>
          <w:p>
            <w:pPr>
              <w:pStyle w:val="TableContents"/>
              <w:bidi w:val="0"/>
              <w:spacing w:before="0" w:after="283"/>
              <w:jc w:val="left"/>
              <w:rPr>
                <w:sz w:val="4"/>
                <w:szCs w:val="4"/>
              </w:rPr>
            </w:pPr>
            <w:r>
              <w:rPr>
                <w:sz w:val="4"/>
                <w:szCs w:val="4"/>
              </w:rPr>
            </w:r>
          </w:p>
        </w:tc>
        <w:tc>
          <w:tcPr>
            <w:tcW w:w="1866" w:type="dxa"/>
            <w:gridSpan w:val="5"/>
            <w:tcBorders/>
            <w:vAlign w:val="center"/>
          </w:tcPr>
          <w:p>
            <w:pPr>
              <w:pStyle w:val="TableContents"/>
              <w:bidi w:val="0"/>
              <w:spacing w:before="0" w:after="283"/>
              <w:jc w:val="left"/>
              <w:rPr>
                <w:sz w:val="4"/>
                <w:szCs w:val="4"/>
              </w:rPr>
            </w:pPr>
            <w:r>
              <w:rPr>
                <w:sz w:val="4"/>
                <w:szCs w:val="4"/>
              </w:rPr>
            </w:r>
          </w:p>
        </w:tc>
      </w:tr>
      <w:tr>
        <w:trPr/>
        <w:tc>
          <w:tcPr>
            <w:tcW w:w="2628" w:type="dxa"/>
            <w:tcBorders>
              <w:bottom w:val="single" w:sz="12" w:space="0" w:color="1070B8"/>
            </w:tcBorders>
            <w:shd w:fill="D5DBE3" w:val="clear"/>
            <w:tcMar>
              <w:bottom w:w="60" w:type="dxa"/>
            </w:tcMar>
            <w:vAlign w:val="center"/>
          </w:tcPr>
          <w:p>
            <w:pPr>
              <w:pStyle w:val="TableContents"/>
              <w:bidi w:val="0"/>
              <w:spacing w:before="0" w:after="0"/>
              <w:jc w:val="left"/>
              <w:rPr/>
            </w:pPr>
            <w:r>
              <w:rPr/>
              <w:t> </w:t>
            </w:r>
            <w:r>
              <w:rPr>
                <w:rFonts w:ascii="arial" w:hAnsi="arial"/>
                <w:sz w:val="20"/>
              </w:rPr>
              <w:t>Griffon Corporation</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2" w:space="0" w:color="1070B8"/>
            </w:tcBorders>
            <w:tcMar>
              <w:bottom w:w="60" w:type="dxa"/>
            </w:tcMar>
            <w:vAlign w:val="center"/>
          </w:tcPr>
          <w:p>
            <w:pPr>
              <w:pStyle w:val="TableContents"/>
              <w:bidi w:val="0"/>
              <w:spacing w:before="0" w:after="283"/>
              <w:jc w:val="center"/>
              <w:rPr/>
            </w:pPr>
            <w:r>
              <w:rPr/>
              <w:t>$3,408</w:t>
            </w:r>
          </w:p>
        </w:tc>
        <w:tc>
          <w:tcPr>
            <w:tcW w:w="23" w:type="dxa"/>
            <w:tcBorders>
              <w:bottom w:val="single" w:sz="12" w:space="0" w:color="1070B8"/>
            </w:tcBorders>
            <w:shd w:fill="D5DBE3"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2" w:space="0" w:color="1070B8"/>
            </w:tcBorders>
            <w:shd w:fill="D5DBE3" w:val="clear"/>
            <w:tcMar>
              <w:bottom w:w="60" w:type="dxa"/>
            </w:tcMar>
            <w:vAlign w:val="center"/>
          </w:tcPr>
          <w:p>
            <w:pPr>
              <w:pStyle w:val="TableContents"/>
              <w:bidi w:val="0"/>
              <w:spacing w:before="0" w:after="283"/>
              <w:jc w:val="left"/>
              <w:rPr/>
            </w:pPr>
            <w:r>
              <w:rPr/>
              <w:t> </w:t>
            </w:r>
            <w:r>
              <w:rPr/>
              <w:t>Eagle Materials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2" w:space="0" w:color="1070B8"/>
            </w:tcBorders>
            <w:tcMar>
              <w:bottom w:w="60" w:type="dxa"/>
            </w:tcMar>
            <w:vAlign w:val="center"/>
          </w:tcPr>
          <w:p>
            <w:pPr>
              <w:pStyle w:val="TableContents"/>
              <w:bidi w:val="0"/>
              <w:spacing w:before="0" w:after="283"/>
              <w:jc w:val="left"/>
              <w:rPr/>
            </w:pPr>
            <w:r>
              <w:rPr/>
              <w:t> </w:t>
            </w:r>
          </w:p>
        </w:tc>
        <w:tc>
          <w:tcPr>
            <w:tcW w:w="1563" w:type="dxa"/>
            <w:tcBorders>
              <w:bottom w:val="single" w:sz="12" w:space="0" w:color="1070B8"/>
            </w:tcBorders>
            <w:tcMar>
              <w:bottom w:w="60" w:type="dxa"/>
            </w:tcMar>
            <w:vAlign w:val="center"/>
          </w:tcPr>
          <w:p>
            <w:pPr>
              <w:pStyle w:val="TableContents"/>
              <w:bidi w:val="0"/>
              <w:spacing w:before="0" w:after="283"/>
              <w:jc w:val="center"/>
              <w:rPr/>
            </w:pPr>
            <w:r>
              <w:rPr/>
              <w:t>$2,267</w:t>
            </w:r>
          </w:p>
        </w:tc>
        <w:tc>
          <w:tcPr>
            <w:tcW w:w="91" w:type="dxa"/>
            <w:tcBorders>
              <w:bottom w:val="single" w:sz="12" w:space="0" w:color="1070B8"/>
            </w:tcBorders>
            <w:tcMar>
              <w:bottom w:w="60" w:type="dxa"/>
            </w:tcMar>
            <w:vAlign w:val="center"/>
          </w:tcPr>
          <w:p>
            <w:pPr>
              <w:pStyle w:val="TableContents"/>
              <w:bidi w:val="0"/>
              <w:spacing w:before="0" w:after="283"/>
              <w:jc w:val="left"/>
              <w:rPr>
                <w:sz w:val="4"/>
                <w:szCs w:val="4"/>
              </w:rPr>
            </w:pPr>
            <w:r>
              <w:rPr>
                <w:sz w:val="4"/>
                <w:szCs w:val="4"/>
              </w:rPr>
            </w:r>
          </w:p>
        </w:tc>
      </w:tr>
      <w:tr>
        <w:trPr/>
        <w:tc>
          <w:tcPr>
            <w:tcW w:w="2628" w:type="dxa"/>
            <w:tcBorders/>
            <w:shd w:fill="D5DBE3" w:val="clear"/>
            <w:vAlign w:val="center"/>
          </w:tcPr>
          <w:p>
            <w:pPr>
              <w:pStyle w:val="TableContents"/>
              <w:bidi w:val="0"/>
              <w:spacing w:before="0" w:after="283"/>
              <w:jc w:val="left"/>
              <w:rPr>
                <w:sz w:val="4"/>
                <w:szCs w:val="4"/>
              </w:rPr>
            </w:pPr>
            <w:r>
              <w:rPr>
                <w:sz w:val="4"/>
                <w:szCs w:val="4"/>
              </w:rPr>
            </w:r>
          </w:p>
        </w:tc>
        <w:tc>
          <w:tcPr>
            <w:tcW w:w="2805"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shd w:fill="D5DBE3" w:val="clear"/>
            <w:vAlign w:val="center"/>
          </w:tcPr>
          <w:p>
            <w:pPr>
              <w:pStyle w:val="TableContents"/>
              <w:bidi w:val="0"/>
              <w:spacing w:before="0" w:after="283"/>
              <w:jc w:val="left"/>
              <w:rPr>
                <w:sz w:val="4"/>
                <w:szCs w:val="4"/>
              </w:rPr>
            </w:pPr>
            <w:r>
              <w:rPr>
                <w:sz w:val="4"/>
                <w:szCs w:val="4"/>
              </w:rPr>
            </w:r>
          </w:p>
        </w:tc>
        <w:tc>
          <w:tcPr>
            <w:tcW w:w="1866" w:type="dxa"/>
            <w:gridSpan w:val="5"/>
            <w:tcBorders/>
            <w:vAlign w:val="center"/>
          </w:tcPr>
          <w:p>
            <w:pPr>
              <w:pStyle w:val="TableContents"/>
              <w:bidi w:val="0"/>
              <w:spacing w:before="0" w:after="283"/>
              <w:jc w:val="left"/>
              <w:rPr>
                <w:sz w:val="4"/>
                <w:szCs w:val="4"/>
              </w:rPr>
            </w:pPr>
            <w:r>
              <w:rPr>
                <w:sz w:val="4"/>
                <w:szCs w:val="4"/>
              </w:rPr>
            </w:r>
          </w:p>
        </w:tc>
      </w:tr>
      <w:tr>
        <w:trPr/>
        <w:tc>
          <w:tcPr>
            <w:tcW w:w="2628" w:type="dxa"/>
            <w:tcBorders>
              <w:bottom w:val="single" w:sz="12" w:space="0" w:color="1070B8"/>
            </w:tcBorders>
            <w:shd w:fill="D5DBE3" w:val="clear"/>
            <w:tcMar>
              <w:bottom w:w="60" w:type="dxa"/>
            </w:tcMar>
            <w:vAlign w:val="center"/>
          </w:tcPr>
          <w:p>
            <w:pPr>
              <w:pStyle w:val="TableContents"/>
              <w:bidi w:val="0"/>
              <w:spacing w:before="0" w:after="0"/>
              <w:jc w:val="left"/>
              <w:rPr/>
            </w:pPr>
            <w:r>
              <w:rPr/>
              <w:t> </w:t>
            </w:r>
            <w:r>
              <w:rPr>
                <w:rFonts w:ascii="arial" w:hAnsi="arial"/>
                <w:sz w:val="20"/>
              </w:rPr>
              <w:t>Tri Pointe Homes,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2" w:space="0" w:color="1070B8"/>
            </w:tcBorders>
            <w:tcMar>
              <w:bottom w:w="60" w:type="dxa"/>
            </w:tcMar>
            <w:vAlign w:val="center"/>
          </w:tcPr>
          <w:p>
            <w:pPr>
              <w:pStyle w:val="TableContents"/>
              <w:bidi w:val="0"/>
              <w:spacing w:before="0" w:after="283"/>
              <w:jc w:val="center"/>
              <w:rPr/>
            </w:pPr>
            <w:r>
              <w:rPr/>
              <w:t>$3,394</w:t>
            </w:r>
          </w:p>
        </w:tc>
        <w:tc>
          <w:tcPr>
            <w:tcW w:w="23" w:type="dxa"/>
            <w:tcBorders>
              <w:bottom w:val="single" w:sz="12" w:space="0" w:color="1070B8"/>
            </w:tcBorders>
            <w:shd w:fill="D5DBE3"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2" w:space="0" w:color="1070B8"/>
            </w:tcBorders>
            <w:shd w:fill="D5DBE3" w:val="clear"/>
            <w:tcMar>
              <w:bottom w:w="60" w:type="dxa"/>
            </w:tcMar>
            <w:vAlign w:val="center"/>
          </w:tcPr>
          <w:p>
            <w:pPr>
              <w:pStyle w:val="TableContents"/>
              <w:bidi w:val="0"/>
              <w:spacing w:before="0" w:after="283"/>
              <w:jc w:val="left"/>
              <w:rPr/>
            </w:pPr>
            <w:r>
              <w:rPr/>
              <w:t> </w:t>
            </w:r>
            <w:r>
              <w:rPr/>
              <w:t>Simpson Manufacturing Co.,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2" w:space="0" w:color="1070B8"/>
            </w:tcBorders>
            <w:tcMar>
              <w:bottom w:w="60" w:type="dxa"/>
            </w:tcMar>
            <w:vAlign w:val="center"/>
          </w:tcPr>
          <w:p>
            <w:pPr>
              <w:pStyle w:val="TableContents"/>
              <w:bidi w:val="0"/>
              <w:spacing w:before="0" w:after="283"/>
              <w:jc w:val="left"/>
              <w:rPr/>
            </w:pPr>
            <w:r>
              <w:rPr/>
              <w:t> </w:t>
            </w:r>
          </w:p>
        </w:tc>
        <w:tc>
          <w:tcPr>
            <w:tcW w:w="1563" w:type="dxa"/>
            <w:tcBorders>
              <w:bottom w:val="single" w:sz="12" w:space="0" w:color="1070B8"/>
            </w:tcBorders>
            <w:tcMar>
              <w:bottom w:w="60" w:type="dxa"/>
            </w:tcMar>
            <w:vAlign w:val="center"/>
          </w:tcPr>
          <w:p>
            <w:pPr>
              <w:pStyle w:val="TableContents"/>
              <w:bidi w:val="0"/>
              <w:spacing w:before="0" w:after="283"/>
              <w:jc w:val="center"/>
              <w:rPr/>
            </w:pPr>
            <w:r>
              <w:rPr/>
              <w:t>$2,232</w:t>
            </w:r>
          </w:p>
        </w:tc>
        <w:tc>
          <w:tcPr>
            <w:tcW w:w="91" w:type="dxa"/>
            <w:tcBorders>
              <w:bottom w:val="single" w:sz="12" w:space="0" w:color="1070B8"/>
            </w:tcBorders>
            <w:tcMar>
              <w:bottom w:w="60" w:type="dxa"/>
            </w:tcMar>
            <w:vAlign w:val="center"/>
          </w:tcPr>
          <w:p>
            <w:pPr>
              <w:pStyle w:val="TableContents"/>
              <w:bidi w:val="0"/>
              <w:spacing w:before="0" w:after="283"/>
              <w:jc w:val="left"/>
              <w:rPr>
                <w:sz w:val="4"/>
                <w:szCs w:val="4"/>
              </w:rPr>
            </w:pPr>
            <w:r>
              <w:rPr>
                <w:sz w:val="4"/>
                <w:szCs w:val="4"/>
              </w:rPr>
            </w:r>
          </w:p>
        </w:tc>
      </w:tr>
      <w:tr>
        <w:trPr/>
        <w:tc>
          <w:tcPr>
            <w:tcW w:w="2628" w:type="dxa"/>
            <w:tcBorders/>
            <w:shd w:fill="D5DBE3" w:val="clear"/>
            <w:vAlign w:val="center"/>
          </w:tcPr>
          <w:p>
            <w:pPr>
              <w:pStyle w:val="TableContents"/>
              <w:bidi w:val="0"/>
              <w:spacing w:before="0" w:after="283"/>
              <w:jc w:val="left"/>
              <w:rPr>
                <w:sz w:val="4"/>
                <w:szCs w:val="4"/>
              </w:rPr>
            </w:pPr>
            <w:r>
              <w:rPr>
                <w:sz w:val="4"/>
                <w:szCs w:val="4"/>
              </w:rPr>
            </w:r>
          </w:p>
        </w:tc>
        <w:tc>
          <w:tcPr>
            <w:tcW w:w="2805"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shd w:fill="D5DBE3" w:val="clear"/>
            <w:vAlign w:val="center"/>
          </w:tcPr>
          <w:p>
            <w:pPr>
              <w:pStyle w:val="TableContents"/>
              <w:bidi w:val="0"/>
              <w:spacing w:before="0" w:after="283"/>
              <w:jc w:val="left"/>
              <w:rPr>
                <w:sz w:val="4"/>
                <w:szCs w:val="4"/>
              </w:rPr>
            </w:pPr>
            <w:r>
              <w:rPr>
                <w:sz w:val="4"/>
                <w:szCs w:val="4"/>
              </w:rPr>
            </w:r>
          </w:p>
        </w:tc>
        <w:tc>
          <w:tcPr>
            <w:tcW w:w="1866" w:type="dxa"/>
            <w:gridSpan w:val="5"/>
            <w:tcBorders/>
            <w:vAlign w:val="center"/>
          </w:tcPr>
          <w:p>
            <w:pPr>
              <w:pStyle w:val="TableContents"/>
              <w:bidi w:val="0"/>
              <w:spacing w:before="0" w:after="283"/>
              <w:jc w:val="left"/>
              <w:rPr>
                <w:sz w:val="4"/>
                <w:szCs w:val="4"/>
              </w:rPr>
            </w:pPr>
            <w:r>
              <w:rPr>
                <w:sz w:val="4"/>
                <w:szCs w:val="4"/>
              </w:rPr>
            </w:r>
          </w:p>
        </w:tc>
      </w:tr>
      <w:tr>
        <w:trPr/>
        <w:tc>
          <w:tcPr>
            <w:tcW w:w="2628" w:type="dxa"/>
            <w:tcBorders>
              <w:bottom w:val="single" w:sz="12" w:space="0" w:color="1070B8"/>
            </w:tcBorders>
            <w:shd w:fill="D5DBE3" w:val="clear"/>
            <w:tcMar>
              <w:bottom w:w="60" w:type="dxa"/>
            </w:tcMar>
            <w:vAlign w:val="center"/>
          </w:tcPr>
          <w:p>
            <w:pPr>
              <w:pStyle w:val="TableContents"/>
              <w:bidi w:val="0"/>
              <w:spacing w:before="0" w:after="0"/>
              <w:jc w:val="left"/>
              <w:rPr/>
            </w:pPr>
            <w:r>
              <w:rPr/>
              <w:t> </w:t>
            </w:r>
            <w:r>
              <w:rPr>
                <w:rFonts w:ascii="arial" w:hAnsi="arial"/>
                <w:sz w:val="20"/>
              </w:rPr>
              <w:t>Century Communities,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2" w:space="0" w:color="1070B8"/>
            </w:tcBorders>
            <w:tcMar>
              <w:bottom w:w="60" w:type="dxa"/>
            </w:tcMar>
            <w:vAlign w:val="center"/>
          </w:tcPr>
          <w:p>
            <w:pPr>
              <w:pStyle w:val="TableContents"/>
              <w:bidi w:val="0"/>
              <w:spacing w:before="0" w:after="283"/>
              <w:jc w:val="center"/>
              <w:rPr/>
            </w:pPr>
            <w:r>
              <w:rPr/>
              <w:t>$2,299</w:t>
            </w:r>
          </w:p>
        </w:tc>
        <w:tc>
          <w:tcPr>
            <w:tcW w:w="23" w:type="dxa"/>
            <w:tcBorders>
              <w:bottom w:val="single" w:sz="12" w:space="0" w:color="1070B8"/>
            </w:tcBorders>
            <w:shd w:fill="D5DBE3"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2" w:space="0" w:color="1070B8"/>
            </w:tcBorders>
            <w:shd w:fill="D5DBE3" w:val="clear"/>
            <w:tcMar>
              <w:bottom w:w="60" w:type="dxa"/>
            </w:tcMar>
            <w:vAlign w:val="center"/>
          </w:tcPr>
          <w:p>
            <w:pPr>
              <w:pStyle w:val="TableContents"/>
              <w:bidi w:val="0"/>
              <w:spacing w:before="0" w:after="283"/>
              <w:jc w:val="left"/>
              <w:rPr/>
            </w:pPr>
            <w:r>
              <w:rPr/>
              <w:t> </w:t>
            </w:r>
            <w:r>
              <w:rPr/>
              <w:t>LGI Homes,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2" w:space="0" w:color="1070B8"/>
            </w:tcBorders>
            <w:tcMar>
              <w:bottom w:w="60" w:type="dxa"/>
            </w:tcMar>
            <w:vAlign w:val="center"/>
          </w:tcPr>
          <w:p>
            <w:pPr>
              <w:pStyle w:val="TableContents"/>
              <w:bidi w:val="0"/>
              <w:spacing w:before="0" w:after="283"/>
              <w:jc w:val="left"/>
              <w:rPr/>
            </w:pPr>
            <w:r>
              <w:rPr/>
              <w:t> </w:t>
            </w:r>
          </w:p>
        </w:tc>
        <w:tc>
          <w:tcPr>
            <w:tcW w:w="1563" w:type="dxa"/>
            <w:tcBorders>
              <w:bottom w:val="single" w:sz="12" w:space="0" w:color="1070B8"/>
            </w:tcBorders>
            <w:tcMar>
              <w:bottom w:w="60" w:type="dxa"/>
            </w:tcMar>
            <w:vAlign w:val="center"/>
          </w:tcPr>
          <w:p>
            <w:pPr>
              <w:pStyle w:val="TableContents"/>
              <w:bidi w:val="0"/>
              <w:spacing w:before="0" w:after="283"/>
              <w:jc w:val="center"/>
              <w:rPr/>
            </w:pPr>
            <w:r>
              <w:rPr/>
              <w:t>$2,203</w:t>
            </w:r>
          </w:p>
        </w:tc>
        <w:tc>
          <w:tcPr>
            <w:tcW w:w="91" w:type="dxa"/>
            <w:tcBorders>
              <w:bottom w:val="single" w:sz="12" w:space="0" w:color="1070B8"/>
            </w:tcBorders>
            <w:tcMar>
              <w:bottom w:w="60" w:type="dxa"/>
            </w:tcMar>
            <w:vAlign w:val="center"/>
          </w:tcPr>
          <w:p>
            <w:pPr>
              <w:pStyle w:val="TableContents"/>
              <w:bidi w:val="0"/>
              <w:spacing w:before="0" w:after="283"/>
              <w:jc w:val="left"/>
              <w:rPr>
                <w:sz w:val="4"/>
                <w:szCs w:val="4"/>
              </w:rPr>
            </w:pPr>
            <w:r>
              <w:rPr>
                <w:sz w:val="4"/>
                <w:szCs w:val="4"/>
              </w:rPr>
            </w:r>
          </w:p>
        </w:tc>
      </w:tr>
      <w:tr>
        <w:trPr/>
        <w:tc>
          <w:tcPr>
            <w:tcW w:w="2628" w:type="dxa"/>
            <w:tcBorders/>
            <w:shd w:fill="D5DBE3" w:val="clear"/>
            <w:vAlign w:val="center"/>
          </w:tcPr>
          <w:p>
            <w:pPr>
              <w:pStyle w:val="TableContents"/>
              <w:bidi w:val="0"/>
              <w:spacing w:before="0" w:after="283"/>
              <w:jc w:val="left"/>
              <w:rPr>
                <w:sz w:val="4"/>
                <w:szCs w:val="4"/>
              </w:rPr>
            </w:pPr>
            <w:r>
              <w:rPr>
                <w:sz w:val="4"/>
                <w:szCs w:val="4"/>
              </w:rPr>
            </w:r>
          </w:p>
        </w:tc>
        <w:tc>
          <w:tcPr>
            <w:tcW w:w="2805"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shd w:fill="D5DBE3" w:val="clear"/>
            <w:vAlign w:val="center"/>
          </w:tcPr>
          <w:p>
            <w:pPr>
              <w:pStyle w:val="TableContents"/>
              <w:bidi w:val="0"/>
              <w:spacing w:before="0" w:after="283"/>
              <w:jc w:val="left"/>
              <w:rPr>
                <w:sz w:val="4"/>
                <w:szCs w:val="4"/>
              </w:rPr>
            </w:pPr>
            <w:r>
              <w:rPr>
                <w:sz w:val="4"/>
                <w:szCs w:val="4"/>
              </w:rPr>
            </w:r>
          </w:p>
        </w:tc>
        <w:tc>
          <w:tcPr>
            <w:tcW w:w="1866" w:type="dxa"/>
            <w:gridSpan w:val="5"/>
            <w:tcBorders/>
            <w:vAlign w:val="center"/>
          </w:tcPr>
          <w:p>
            <w:pPr>
              <w:pStyle w:val="TableContents"/>
              <w:bidi w:val="0"/>
              <w:spacing w:before="0" w:after="283"/>
              <w:jc w:val="left"/>
              <w:rPr>
                <w:sz w:val="4"/>
                <w:szCs w:val="4"/>
              </w:rPr>
            </w:pPr>
            <w:r>
              <w:rPr>
                <w:sz w:val="4"/>
                <w:szCs w:val="4"/>
              </w:rPr>
            </w:r>
          </w:p>
        </w:tc>
      </w:tr>
      <w:tr>
        <w:trPr/>
        <w:tc>
          <w:tcPr>
            <w:tcW w:w="2628" w:type="dxa"/>
            <w:tcBorders>
              <w:bottom w:val="single" w:sz="12" w:space="0" w:color="1070B8"/>
            </w:tcBorders>
            <w:shd w:fill="D5DBE3" w:val="clear"/>
            <w:tcMar>
              <w:bottom w:w="60" w:type="dxa"/>
            </w:tcMar>
            <w:vAlign w:val="center"/>
          </w:tcPr>
          <w:p>
            <w:pPr>
              <w:pStyle w:val="TableContents"/>
              <w:bidi w:val="0"/>
              <w:spacing w:before="0" w:after="0"/>
              <w:jc w:val="left"/>
              <w:rPr/>
            </w:pPr>
            <w:r>
              <w:rPr/>
              <w:t> </w:t>
            </w:r>
            <w:r>
              <w:rPr>
                <w:rFonts w:ascii="arial" w:hAnsi="arial"/>
                <w:sz w:val="20"/>
              </w:rPr>
              <w:t>LGI Homes,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2" w:space="0" w:color="1070B8"/>
            </w:tcBorders>
            <w:tcMar>
              <w:bottom w:w="60" w:type="dxa"/>
            </w:tcMar>
            <w:vAlign w:val="center"/>
          </w:tcPr>
          <w:p>
            <w:pPr>
              <w:pStyle w:val="TableContents"/>
              <w:bidi w:val="0"/>
              <w:spacing w:before="0" w:after="283"/>
              <w:jc w:val="center"/>
              <w:rPr/>
            </w:pPr>
            <w:r>
              <w:rPr/>
              <w:t>$2,102</w:t>
            </w:r>
          </w:p>
        </w:tc>
        <w:tc>
          <w:tcPr>
            <w:tcW w:w="23" w:type="dxa"/>
            <w:tcBorders>
              <w:bottom w:val="single" w:sz="12" w:space="0" w:color="1070B8"/>
            </w:tcBorders>
            <w:shd w:fill="D5DBE3"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2" w:space="0" w:color="1070B8"/>
            </w:tcBorders>
            <w:shd w:fill="D5DBE3" w:val="clear"/>
            <w:tcMar>
              <w:bottom w:w="60" w:type="dxa"/>
            </w:tcMar>
            <w:vAlign w:val="center"/>
          </w:tcPr>
          <w:p>
            <w:pPr>
              <w:pStyle w:val="TableContents"/>
              <w:bidi w:val="0"/>
              <w:spacing w:before="0" w:after="283"/>
              <w:jc w:val="left"/>
              <w:rPr/>
            </w:pPr>
            <w:r>
              <w:rPr/>
              <w:t> </w:t>
            </w:r>
            <w:r>
              <w:rPr/>
              <w:t>Cavco Industries,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2" w:space="0" w:color="1070B8"/>
            </w:tcBorders>
            <w:tcMar>
              <w:bottom w:w="60" w:type="dxa"/>
            </w:tcMar>
            <w:vAlign w:val="center"/>
          </w:tcPr>
          <w:p>
            <w:pPr>
              <w:pStyle w:val="TableContents"/>
              <w:bidi w:val="0"/>
              <w:spacing w:before="0" w:after="283"/>
              <w:jc w:val="left"/>
              <w:rPr/>
            </w:pPr>
            <w:r>
              <w:rPr/>
              <w:t> </w:t>
            </w:r>
          </w:p>
        </w:tc>
        <w:tc>
          <w:tcPr>
            <w:tcW w:w="1563" w:type="dxa"/>
            <w:tcBorders>
              <w:bottom w:val="single" w:sz="12" w:space="0" w:color="1070B8"/>
            </w:tcBorders>
            <w:tcMar>
              <w:bottom w:w="60" w:type="dxa"/>
            </w:tcMar>
            <w:vAlign w:val="center"/>
          </w:tcPr>
          <w:p>
            <w:pPr>
              <w:pStyle w:val="TableContents"/>
              <w:bidi w:val="0"/>
              <w:spacing w:before="0" w:after="283"/>
              <w:jc w:val="center"/>
              <w:rPr/>
            </w:pPr>
            <w:r>
              <w:rPr/>
              <w:t>$1,927</w:t>
            </w:r>
          </w:p>
        </w:tc>
        <w:tc>
          <w:tcPr>
            <w:tcW w:w="91" w:type="dxa"/>
            <w:tcBorders>
              <w:bottom w:val="single" w:sz="12" w:space="0" w:color="1070B8"/>
            </w:tcBorders>
            <w:tcMar>
              <w:bottom w:w="60" w:type="dxa"/>
            </w:tcMar>
            <w:vAlign w:val="center"/>
          </w:tcPr>
          <w:p>
            <w:pPr>
              <w:pStyle w:val="TableContents"/>
              <w:bidi w:val="0"/>
              <w:spacing w:before="0" w:after="283"/>
              <w:jc w:val="left"/>
              <w:rPr>
                <w:sz w:val="4"/>
                <w:szCs w:val="4"/>
              </w:rPr>
            </w:pPr>
            <w:r>
              <w:rPr>
                <w:sz w:val="4"/>
                <w:szCs w:val="4"/>
              </w:rPr>
            </w:r>
          </w:p>
        </w:tc>
      </w:tr>
      <w:tr>
        <w:trPr/>
        <w:tc>
          <w:tcPr>
            <w:tcW w:w="2628" w:type="dxa"/>
            <w:tcBorders/>
            <w:shd w:fill="D5DBE3" w:val="clear"/>
            <w:vAlign w:val="center"/>
          </w:tcPr>
          <w:p>
            <w:pPr>
              <w:pStyle w:val="TableContents"/>
              <w:bidi w:val="0"/>
              <w:spacing w:before="0" w:after="283"/>
              <w:jc w:val="left"/>
              <w:rPr>
                <w:sz w:val="4"/>
                <w:szCs w:val="4"/>
              </w:rPr>
            </w:pPr>
            <w:r>
              <w:rPr>
                <w:sz w:val="4"/>
                <w:szCs w:val="4"/>
              </w:rPr>
            </w:r>
          </w:p>
        </w:tc>
        <w:tc>
          <w:tcPr>
            <w:tcW w:w="2805"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shd w:fill="D5DBE3" w:val="clear"/>
            <w:vAlign w:val="center"/>
          </w:tcPr>
          <w:p>
            <w:pPr>
              <w:pStyle w:val="TableContents"/>
              <w:bidi w:val="0"/>
              <w:spacing w:before="0" w:after="283"/>
              <w:jc w:val="left"/>
              <w:rPr>
                <w:sz w:val="4"/>
                <w:szCs w:val="4"/>
              </w:rPr>
            </w:pPr>
            <w:r>
              <w:rPr>
                <w:sz w:val="4"/>
                <w:szCs w:val="4"/>
              </w:rPr>
            </w:r>
          </w:p>
        </w:tc>
        <w:tc>
          <w:tcPr>
            <w:tcW w:w="1866" w:type="dxa"/>
            <w:gridSpan w:val="5"/>
            <w:tcBorders/>
            <w:vAlign w:val="center"/>
          </w:tcPr>
          <w:p>
            <w:pPr>
              <w:pStyle w:val="TableContents"/>
              <w:bidi w:val="0"/>
              <w:spacing w:before="0" w:after="283"/>
              <w:jc w:val="left"/>
              <w:rPr>
                <w:sz w:val="4"/>
                <w:szCs w:val="4"/>
              </w:rPr>
            </w:pPr>
            <w:r>
              <w:rPr>
                <w:sz w:val="4"/>
                <w:szCs w:val="4"/>
              </w:rPr>
            </w:r>
          </w:p>
        </w:tc>
      </w:tr>
      <w:tr>
        <w:trPr/>
        <w:tc>
          <w:tcPr>
            <w:tcW w:w="2628" w:type="dxa"/>
            <w:tcBorders>
              <w:bottom w:val="single" w:sz="12" w:space="0" w:color="1070B8"/>
            </w:tcBorders>
            <w:shd w:fill="D5DBE3" w:val="clear"/>
            <w:tcMar>
              <w:bottom w:w="60" w:type="dxa"/>
            </w:tcMar>
            <w:vAlign w:val="center"/>
          </w:tcPr>
          <w:p>
            <w:pPr>
              <w:pStyle w:val="TableContents"/>
              <w:bidi w:val="0"/>
              <w:spacing w:before="0" w:after="0"/>
              <w:jc w:val="left"/>
              <w:rPr/>
            </w:pPr>
            <w:r>
              <w:rPr/>
              <w:t> </w:t>
            </w:r>
            <w:r>
              <w:rPr>
                <w:rFonts w:ascii="arial" w:hAnsi="arial"/>
                <w:sz w:val="20"/>
              </w:rPr>
              <w:t>Gibraltar Industries,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2" w:space="0" w:color="1070B8"/>
            </w:tcBorders>
            <w:tcMar>
              <w:bottom w:w="60" w:type="dxa"/>
            </w:tcMar>
            <w:vAlign w:val="center"/>
          </w:tcPr>
          <w:p>
            <w:pPr>
              <w:pStyle w:val="TableContents"/>
              <w:bidi w:val="0"/>
              <w:spacing w:before="0" w:after="283"/>
              <w:jc w:val="center"/>
              <w:rPr/>
            </w:pPr>
            <w:r>
              <w:rPr/>
              <w:t>$1,787</w:t>
            </w:r>
          </w:p>
        </w:tc>
        <w:tc>
          <w:tcPr>
            <w:tcW w:w="23" w:type="dxa"/>
            <w:tcBorders>
              <w:bottom w:val="single" w:sz="12" w:space="0" w:color="1070B8"/>
            </w:tcBorders>
            <w:shd w:fill="D5DBE3"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2" w:space="0" w:color="1070B8"/>
            </w:tcBorders>
            <w:shd w:fill="D5DBE3" w:val="clear"/>
            <w:tcMar>
              <w:bottom w:w="60" w:type="dxa"/>
            </w:tcMar>
            <w:vAlign w:val="center"/>
          </w:tcPr>
          <w:p>
            <w:pPr>
              <w:pStyle w:val="TableContents"/>
              <w:bidi w:val="0"/>
              <w:spacing w:before="0" w:after="283"/>
              <w:jc w:val="left"/>
              <w:rPr/>
            </w:pPr>
            <w:r>
              <w:rPr/>
              <w:t> </w:t>
            </w:r>
            <w:r>
              <w:rPr/>
              <w:t>Apogee Enterprises,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2" w:space="0" w:color="1070B8"/>
            </w:tcBorders>
            <w:tcMar>
              <w:bottom w:w="60" w:type="dxa"/>
            </w:tcMar>
            <w:vAlign w:val="center"/>
          </w:tcPr>
          <w:p>
            <w:pPr>
              <w:pStyle w:val="TableContents"/>
              <w:bidi w:val="0"/>
              <w:spacing w:before="0" w:after="283"/>
              <w:jc w:val="left"/>
              <w:rPr/>
            </w:pPr>
            <w:r>
              <w:rPr/>
              <w:t> </w:t>
            </w:r>
          </w:p>
        </w:tc>
        <w:tc>
          <w:tcPr>
            <w:tcW w:w="1563" w:type="dxa"/>
            <w:tcBorders>
              <w:bottom w:val="single" w:sz="12" w:space="0" w:color="1070B8"/>
            </w:tcBorders>
            <w:tcMar>
              <w:bottom w:w="60" w:type="dxa"/>
            </w:tcMar>
            <w:vAlign w:val="center"/>
          </w:tcPr>
          <w:p>
            <w:pPr>
              <w:pStyle w:val="TableContents"/>
              <w:bidi w:val="0"/>
              <w:spacing w:before="0" w:after="283"/>
              <w:jc w:val="center"/>
              <w:rPr/>
            </w:pPr>
            <w:r>
              <w:rPr/>
              <w:t>$1,377</w:t>
            </w:r>
          </w:p>
        </w:tc>
        <w:tc>
          <w:tcPr>
            <w:tcW w:w="91" w:type="dxa"/>
            <w:tcBorders>
              <w:bottom w:val="single" w:sz="12" w:space="0" w:color="1070B8"/>
            </w:tcBorders>
            <w:tcMar>
              <w:bottom w:w="60" w:type="dxa"/>
            </w:tcMar>
            <w:vAlign w:val="center"/>
          </w:tcPr>
          <w:p>
            <w:pPr>
              <w:pStyle w:val="TableContents"/>
              <w:bidi w:val="0"/>
              <w:spacing w:before="0" w:after="283"/>
              <w:jc w:val="left"/>
              <w:rPr>
                <w:sz w:val="4"/>
                <w:szCs w:val="4"/>
              </w:rPr>
            </w:pPr>
            <w:r>
              <w:rPr>
                <w:sz w:val="4"/>
                <w:szCs w:val="4"/>
              </w:rPr>
            </w:r>
          </w:p>
        </w:tc>
      </w:tr>
      <w:tr>
        <w:trPr/>
        <w:tc>
          <w:tcPr>
            <w:tcW w:w="2628" w:type="dxa"/>
            <w:tcBorders/>
            <w:shd w:fill="D5DBE3" w:val="clear"/>
            <w:vAlign w:val="center"/>
          </w:tcPr>
          <w:p>
            <w:pPr>
              <w:pStyle w:val="TableContents"/>
              <w:bidi w:val="0"/>
              <w:spacing w:before="0" w:after="283"/>
              <w:jc w:val="left"/>
              <w:rPr>
                <w:sz w:val="4"/>
                <w:szCs w:val="4"/>
              </w:rPr>
            </w:pPr>
            <w:r>
              <w:rPr>
                <w:sz w:val="4"/>
                <w:szCs w:val="4"/>
              </w:rPr>
            </w:r>
          </w:p>
        </w:tc>
        <w:tc>
          <w:tcPr>
            <w:tcW w:w="2805"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shd w:fill="D5DBE3" w:val="clear"/>
            <w:vAlign w:val="center"/>
          </w:tcPr>
          <w:p>
            <w:pPr>
              <w:pStyle w:val="TableContents"/>
              <w:bidi w:val="0"/>
              <w:spacing w:before="0" w:after="283"/>
              <w:jc w:val="left"/>
              <w:rPr>
                <w:sz w:val="4"/>
                <w:szCs w:val="4"/>
              </w:rPr>
            </w:pPr>
            <w:r>
              <w:rPr>
                <w:sz w:val="4"/>
                <w:szCs w:val="4"/>
              </w:rPr>
            </w:r>
          </w:p>
        </w:tc>
        <w:tc>
          <w:tcPr>
            <w:tcW w:w="1866" w:type="dxa"/>
            <w:gridSpan w:val="5"/>
            <w:tcBorders/>
            <w:vAlign w:val="center"/>
          </w:tcPr>
          <w:p>
            <w:pPr>
              <w:pStyle w:val="TableContents"/>
              <w:bidi w:val="0"/>
              <w:spacing w:before="0" w:after="283"/>
              <w:jc w:val="left"/>
              <w:rPr>
                <w:sz w:val="4"/>
                <w:szCs w:val="4"/>
              </w:rPr>
            </w:pPr>
            <w:r>
              <w:rPr>
                <w:sz w:val="4"/>
                <w:szCs w:val="4"/>
              </w:rPr>
            </w:r>
          </w:p>
        </w:tc>
      </w:tr>
      <w:tr>
        <w:trPr/>
        <w:tc>
          <w:tcPr>
            <w:tcW w:w="2628" w:type="dxa"/>
            <w:tcBorders>
              <w:bottom w:val="single" w:sz="12" w:space="0" w:color="1070B8"/>
            </w:tcBorders>
            <w:shd w:fill="D5DBE3" w:val="clear"/>
            <w:tcMar>
              <w:bottom w:w="60" w:type="dxa"/>
            </w:tcMar>
            <w:vAlign w:val="center"/>
          </w:tcPr>
          <w:p>
            <w:pPr>
              <w:pStyle w:val="TableContents"/>
              <w:bidi w:val="0"/>
              <w:spacing w:before="0" w:after="0"/>
              <w:jc w:val="left"/>
              <w:rPr/>
            </w:pPr>
            <w:r>
              <w:rPr/>
              <w:t> </w:t>
            </w:r>
            <w:r>
              <w:rPr>
                <w:rFonts w:ascii="arial" w:hAnsi="arial"/>
                <w:sz w:val="20"/>
              </w:rPr>
              <w:t>Apogee Enterprises,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2" w:space="0" w:color="1070B8"/>
            </w:tcBorders>
            <w:tcMar>
              <w:bottom w:w="60" w:type="dxa"/>
            </w:tcMar>
            <w:vAlign w:val="center"/>
          </w:tcPr>
          <w:p>
            <w:pPr>
              <w:pStyle w:val="TableContents"/>
              <w:bidi w:val="0"/>
              <w:spacing w:before="0" w:after="283"/>
              <w:jc w:val="center"/>
              <w:rPr/>
            </w:pPr>
            <w:r>
              <w:rPr/>
              <w:t>$1,567</w:t>
            </w:r>
          </w:p>
        </w:tc>
        <w:tc>
          <w:tcPr>
            <w:tcW w:w="23" w:type="dxa"/>
            <w:tcBorders>
              <w:bottom w:val="single" w:sz="12" w:space="0" w:color="1070B8"/>
            </w:tcBorders>
            <w:shd w:fill="D5DBE3"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2" w:space="0" w:color="1070B8"/>
            </w:tcBorders>
            <w:shd w:fill="D5DBE3" w:val="clear"/>
            <w:tcMar>
              <w:bottom w:w="60" w:type="dxa"/>
            </w:tcMar>
            <w:vAlign w:val="center"/>
          </w:tcPr>
          <w:p>
            <w:pPr>
              <w:pStyle w:val="TableContents"/>
              <w:bidi w:val="0"/>
              <w:spacing w:before="0" w:after="283"/>
              <w:jc w:val="left"/>
              <w:rPr/>
            </w:pPr>
            <w:r>
              <w:rPr/>
              <w:t> </w:t>
            </w:r>
            <w:r>
              <w:rPr/>
              <w:t>Gibraltar Industries, Inc.</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2" w:space="0" w:color="1070B8"/>
            </w:tcBorders>
            <w:tcMar>
              <w:bottom w:w="60" w:type="dxa"/>
            </w:tcMar>
            <w:vAlign w:val="center"/>
          </w:tcPr>
          <w:p>
            <w:pPr>
              <w:pStyle w:val="TableContents"/>
              <w:bidi w:val="0"/>
              <w:spacing w:before="0" w:after="283"/>
              <w:jc w:val="left"/>
              <w:rPr/>
            </w:pPr>
            <w:r>
              <w:rPr/>
              <w:t> </w:t>
            </w:r>
          </w:p>
        </w:tc>
        <w:tc>
          <w:tcPr>
            <w:tcW w:w="1563" w:type="dxa"/>
            <w:tcBorders>
              <w:bottom w:val="single" w:sz="12" w:space="0" w:color="1070B8"/>
            </w:tcBorders>
            <w:tcMar>
              <w:bottom w:w="60" w:type="dxa"/>
            </w:tcMar>
            <w:vAlign w:val="center"/>
          </w:tcPr>
          <w:p>
            <w:pPr>
              <w:pStyle w:val="TableContents"/>
              <w:bidi w:val="0"/>
              <w:spacing w:before="0" w:after="283"/>
              <w:jc w:val="center"/>
              <w:rPr/>
            </w:pPr>
            <w:r>
              <w:rPr/>
              <w:t>$1,309</w:t>
            </w:r>
          </w:p>
        </w:tc>
        <w:tc>
          <w:tcPr>
            <w:tcW w:w="91" w:type="dxa"/>
            <w:tcBorders>
              <w:bottom w:val="single" w:sz="12" w:space="0" w:color="1070B8"/>
            </w:tcBorders>
            <w:tcMar>
              <w:bottom w:w="60" w:type="dxa"/>
            </w:tcMar>
            <w:vAlign w:val="center"/>
          </w:tcPr>
          <w:p>
            <w:pPr>
              <w:pStyle w:val="TableContents"/>
              <w:bidi w:val="0"/>
              <w:spacing w:before="0" w:after="283"/>
              <w:jc w:val="left"/>
              <w:rPr>
                <w:sz w:val="4"/>
                <w:szCs w:val="4"/>
              </w:rPr>
            </w:pPr>
            <w:r>
              <w:rPr>
                <w:sz w:val="4"/>
                <w:szCs w:val="4"/>
              </w:rPr>
            </w:r>
          </w:p>
        </w:tc>
      </w:tr>
      <w:tr>
        <w:trPr/>
        <w:tc>
          <w:tcPr>
            <w:tcW w:w="2628" w:type="dxa"/>
            <w:tcBorders/>
            <w:shd w:fill="ACB9CA" w:val="clear"/>
            <w:vAlign w:val="center"/>
          </w:tcPr>
          <w:p>
            <w:pPr>
              <w:pStyle w:val="TableContents"/>
              <w:bidi w:val="0"/>
              <w:spacing w:before="0" w:after="283"/>
              <w:jc w:val="left"/>
              <w:rPr>
                <w:sz w:val="4"/>
                <w:szCs w:val="4"/>
              </w:rPr>
            </w:pPr>
            <w:r>
              <w:rPr>
                <w:sz w:val="4"/>
                <w:szCs w:val="4"/>
              </w:rPr>
            </w:r>
          </w:p>
        </w:tc>
        <w:tc>
          <w:tcPr>
            <w:tcW w:w="2805" w:type="dxa"/>
            <w:gridSpan w:val="2"/>
            <w:tcBorders/>
            <w:shd w:fill="ACB9CA" w:val="clear"/>
            <w:vAlign w:val="center"/>
          </w:tcPr>
          <w:p>
            <w:pPr>
              <w:pStyle w:val="TableContents"/>
              <w:bidi w:val="0"/>
              <w:spacing w:before="0" w:after="283"/>
              <w:jc w:val="left"/>
              <w:rPr>
                <w:sz w:val="4"/>
                <w:szCs w:val="4"/>
              </w:rPr>
            </w:pPr>
            <w:r>
              <w:rPr>
                <w:sz w:val="4"/>
                <w:szCs w:val="4"/>
              </w:rPr>
            </w:r>
          </w:p>
        </w:tc>
        <w:tc>
          <w:tcPr>
            <w:tcW w:w="2906" w:type="dxa"/>
            <w:gridSpan w:val="2"/>
            <w:tcBorders/>
            <w:shd w:fill="ACB9CA" w:val="clear"/>
            <w:vAlign w:val="center"/>
          </w:tcPr>
          <w:p>
            <w:pPr>
              <w:pStyle w:val="TableContents"/>
              <w:bidi w:val="0"/>
              <w:spacing w:before="0" w:after="283"/>
              <w:jc w:val="left"/>
              <w:rPr>
                <w:sz w:val="4"/>
                <w:szCs w:val="4"/>
              </w:rPr>
            </w:pPr>
            <w:r>
              <w:rPr>
                <w:sz w:val="4"/>
                <w:szCs w:val="4"/>
              </w:rPr>
            </w:r>
          </w:p>
        </w:tc>
        <w:tc>
          <w:tcPr>
            <w:tcW w:w="1866" w:type="dxa"/>
            <w:gridSpan w:val="5"/>
            <w:tcBorders/>
            <w:shd w:fill="ACB9CA" w:val="clear"/>
            <w:vAlign w:val="center"/>
          </w:tcPr>
          <w:p>
            <w:pPr>
              <w:pStyle w:val="TableContents"/>
              <w:bidi w:val="0"/>
              <w:spacing w:before="0" w:after="283"/>
              <w:jc w:val="left"/>
              <w:rPr>
                <w:sz w:val="4"/>
                <w:szCs w:val="4"/>
              </w:rPr>
            </w:pPr>
            <w:r>
              <w:rPr>
                <w:sz w:val="4"/>
                <w:szCs w:val="4"/>
              </w:rPr>
            </w:r>
          </w:p>
        </w:tc>
      </w:tr>
      <w:tr>
        <w:trPr/>
        <w:tc>
          <w:tcPr>
            <w:tcW w:w="2628" w:type="dxa"/>
            <w:tcBorders>
              <w:bottom w:val="single" w:sz="12" w:space="0" w:color="1070B8"/>
            </w:tcBorders>
            <w:shd w:fill="ACB9CA" w:val="clear"/>
            <w:tcMar>
              <w:bottom w:w="60" w:type="dxa"/>
            </w:tcMar>
            <w:vAlign w:val="center"/>
          </w:tcPr>
          <w:p>
            <w:pPr>
              <w:pStyle w:val="TableContents"/>
              <w:bidi w:val="0"/>
              <w:spacing w:before="0" w:after="0"/>
              <w:jc w:val="left"/>
              <w:rPr/>
            </w:pPr>
            <w:r>
              <w:rPr/>
              <w:t> </w:t>
            </w:r>
            <w:r>
              <w:rPr>
                <w:rFonts w:ascii="arial" w:hAnsi="arial"/>
                <w:sz w:val="20"/>
              </w:rPr>
              <w:t>Peer Group Median</w:t>
            </w:r>
          </w:p>
        </w:tc>
        <w:tc>
          <w:tcPr>
            <w:tcW w:w="23" w:type="dxa"/>
            <w:tcBorders>
              <w:bottom w:val="single" w:sz="12" w:space="0" w:color="1070B8"/>
            </w:tcBorders>
            <w:shd w:fill="ACB9CA" w:val="clear"/>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2" w:space="0" w:color="1070B8"/>
            </w:tcBorders>
            <w:shd w:fill="ACB9CA" w:val="clear"/>
            <w:tcMar>
              <w:bottom w:w="60" w:type="dxa"/>
            </w:tcMar>
            <w:vAlign w:val="center"/>
          </w:tcPr>
          <w:p>
            <w:pPr>
              <w:pStyle w:val="TableContents"/>
              <w:bidi w:val="0"/>
              <w:spacing w:before="0" w:after="283"/>
              <w:jc w:val="center"/>
              <w:rPr/>
            </w:pPr>
            <w:r>
              <w:rPr/>
              <w:t>$3,617</w:t>
            </w:r>
          </w:p>
        </w:tc>
        <w:tc>
          <w:tcPr>
            <w:tcW w:w="23" w:type="dxa"/>
            <w:tcBorders>
              <w:bottom w:val="single" w:sz="12" w:space="0" w:color="1070B8"/>
            </w:tcBorders>
            <w:shd w:fill="ACB9CA"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2" w:space="0" w:color="1070B8"/>
            </w:tcBorders>
            <w:shd w:fill="ACB9CA" w:val="clear"/>
            <w:tcMar>
              <w:bottom w:w="60" w:type="dxa"/>
            </w:tcMar>
            <w:vAlign w:val="center"/>
          </w:tcPr>
          <w:p>
            <w:pPr>
              <w:pStyle w:val="TableContents"/>
              <w:bidi w:val="0"/>
              <w:spacing w:before="0" w:after="283"/>
              <w:jc w:val="left"/>
              <w:rPr/>
            </w:pPr>
            <w:r>
              <w:rPr/>
              <w:t> </w:t>
            </w:r>
            <w:r>
              <w:rPr/>
              <w:t>Peer Group Median</w:t>
            </w:r>
          </w:p>
        </w:tc>
        <w:tc>
          <w:tcPr>
            <w:tcW w:w="23" w:type="dxa"/>
            <w:tcBorders>
              <w:bottom w:val="single" w:sz="12" w:space="0" w:color="1070B8"/>
            </w:tcBorders>
            <w:shd w:fill="ACB9CA" w:val="clear"/>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2" w:space="0" w:color="1070B8"/>
            </w:tcBorders>
            <w:shd w:fill="ACB9CA" w:val="clear"/>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2" w:space="0" w:color="1070B8"/>
            </w:tcBorders>
            <w:shd w:fill="ACB9CA" w:val="clear"/>
            <w:tcMar>
              <w:bottom w:w="60" w:type="dxa"/>
            </w:tcMar>
            <w:vAlign w:val="center"/>
          </w:tcPr>
          <w:p>
            <w:pPr>
              <w:pStyle w:val="TableContents"/>
              <w:bidi w:val="0"/>
              <w:spacing w:before="0" w:after="283"/>
              <w:jc w:val="left"/>
              <w:rPr/>
            </w:pPr>
            <w:r>
              <w:rPr/>
              <w:t> </w:t>
            </w:r>
          </w:p>
        </w:tc>
        <w:tc>
          <w:tcPr>
            <w:tcW w:w="1563" w:type="dxa"/>
            <w:tcBorders>
              <w:bottom w:val="single" w:sz="12" w:space="0" w:color="1070B8"/>
            </w:tcBorders>
            <w:shd w:fill="ACB9CA" w:val="clear"/>
            <w:tcMar>
              <w:bottom w:w="60" w:type="dxa"/>
            </w:tcMar>
            <w:vAlign w:val="center"/>
          </w:tcPr>
          <w:p>
            <w:pPr>
              <w:pStyle w:val="TableContents"/>
              <w:bidi w:val="0"/>
              <w:spacing w:before="0" w:after="283"/>
              <w:jc w:val="center"/>
              <w:rPr/>
            </w:pPr>
            <w:r>
              <w:rPr/>
              <w:t>$2,519</w:t>
            </w:r>
          </w:p>
        </w:tc>
        <w:tc>
          <w:tcPr>
            <w:tcW w:w="91" w:type="dxa"/>
            <w:tcBorders>
              <w:bottom w:val="single" w:sz="12" w:space="0" w:color="1070B8"/>
            </w:tcBorders>
            <w:shd w:fill="ACB9CA" w:val="clear"/>
            <w:tcMar>
              <w:bottom w:w="60" w:type="dxa"/>
            </w:tcMar>
            <w:vAlign w:val="center"/>
          </w:tcPr>
          <w:p>
            <w:pPr>
              <w:pStyle w:val="TableContents"/>
              <w:bidi w:val="0"/>
              <w:spacing w:before="0" w:after="283"/>
              <w:jc w:val="left"/>
              <w:rPr>
                <w:sz w:val="4"/>
                <w:szCs w:val="4"/>
              </w:rPr>
            </w:pPr>
            <w:r>
              <w:rPr>
                <w:sz w:val="4"/>
                <w:szCs w:val="4"/>
              </w:rPr>
            </w:r>
          </w:p>
        </w:tc>
      </w:tr>
      <w:tr>
        <w:trPr/>
        <w:tc>
          <w:tcPr>
            <w:tcW w:w="2628" w:type="dxa"/>
            <w:tcBorders/>
            <w:shd w:fill="ACB9CA" w:val="clear"/>
            <w:vAlign w:val="center"/>
          </w:tcPr>
          <w:p>
            <w:pPr>
              <w:pStyle w:val="TableContents"/>
              <w:bidi w:val="0"/>
              <w:spacing w:before="0" w:after="283"/>
              <w:jc w:val="left"/>
              <w:rPr>
                <w:sz w:val="4"/>
                <w:szCs w:val="4"/>
              </w:rPr>
            </w:pPr>
            <w:r>
              <w:rPr>
                <w:sz w:val="4"/>
                <w:szCs w:val="4"/>
              </w:rPr>
            </w:r>
          </w:p>
        </w:tc>
        <w:tc>
          <w:tcPr>
            <w:tcW w:w="2805" w:type="dxa"/>
            <w:gridSpan w:val="2"/>
            <w:tcBorders/>
            <w:shd w:fill="ACB9CA" w:val="clear"/>
            <w:vAlign w:val="center"/>
          </w:tcPr>
          <w:p>
            <w:pPr>
              <w:pStyle w:val="TableContents"/>
              <w:bidi w:val="0"/>
              <w:spacing w:before="0" w:after="283"/>
              <w:jc w:val="left"/>
              <w:rPr>
                <w:sz w:val="4"/>
                <w:szCs w:val="4"/>
              </w:rPr>
            </w:pPr>
            <w:r>
              <w:rPr>
                <w:sz w:val="4"/>
                <w:szCs w:val="4"/>
              </w:rPr>
            </w:r>
          </w:p>
        </w:tc>
        <w:tc>
          <w:tcPr>
            <w:tcW w:w="2906" w:type="dxa"/>
            <w:gridSpan w:val="2"/>
            <w:tcBorders/>
            <w:shd w:fill="ACB9CA" w:val="clear"/>
            <w:vAlign w:val="center"/>
          </w:tcPr>
          <w:p>
            <w:pPr>
              <w:pStyle w:val="TableContents"/>
              <w:bidi w:val="0"/>
              <w:spacing w:before="0" w:after="283"/>
              <w:jc w:val="left"/>
              <w:rPr>
                <w:sz w:val="4"/>
                <w:szCs w:val="4"/>
              </w:rPr>
            </w:pPr>
            <w:r>
              <w:rPr>
                <w:sz w:val="4"/>
                <w:szCs w:val="4"/>
              </w:rPr>
            </w:r>
          </w:p>
        </w:tc>
        <w:tc>
          <w:tcPr>
            <w:tcW w:w="1866" w:type="dxa"/>
            <w:gridSpan w:val="5"/>
            <w:tcBorders/>
            <w:shd w:fill="ACB9CA" w:val="clear"/>
            <w:vAlign w:val="center"/>
          </w:tcPr>
          <w:p>
            <w:pPr>
              <w:pStyle w:val="TableContents"/>
              <w:bidi w:val="0"/>
              <w:spacing w:before="0" w:after="283"/>
              <w:jc w:val="left"/>
              <w:rPr>
                <w:sz w:val="4"/>
                <w:szCs w:val="4"/>
              </w:rPr>
            </w:pPr>
            <w:r>
              <w:rPr>
                <w:sz w:val="4"/>
                <w:szCs w:val="4"/>
              </w:rPr>
            </w:r>
          </w:p>
        </w:tc>
      </w:tr>
      <w:tr>
        <w:trPr/>
        <w:tc>
          <w:tcPr>
            <w:tcW w:w="2628" w:type="dxa"/>
            <w:tcBorders>
              <w:bottom w:val="single" w:sz="16" w:space="0" w:color="1070B8"/>
            </w:tcBorders>
            <w:shd w:fill="ACB9CA" w:val="clear"/>
            <w:tcMar>
              <w:bottom w:w="60" w:type="dxa"/>
            </w:tcMar>
            <w:vAlign w:val="center"/>
          </w:tcPr>
          <w:p>
            <w:pPr>
              <w:pStyle w:val="TableContents"/>
              <w:bidi w:val="0"/>
              <w:spacing w:before="0" w:after="0"/>
              <w:jc w:val="left"/>
              <w:rPr/>
            </w:pPr>
            <w:r>
              <w:rPr/>
              <w:t> </w:t>
            </w:r>
            <w:r>
              <w:rPr>
                <w:rFonts w:ascii="arial" w:hAnsi="arial"/>
                <w:sz w:val="20"/>
              </w:rPr>
              <w:t>Peer Group 75th Percentile</w:t>
            </w:r>
          </w:p>
        </w:tc>
        <w:tc>
          <w:tcPr>
            <w:tcW w:w="23" w:type="dxa"/>
            <w:tcBorders>
              <w:bottom w:val="single" w:sz="16" w:space="0" w:color="1070B8"/>
            </w:tcBorders>
            <w:shd w:fill="ACB9CA" w:val="clear"/>
            <w:tcMar>
              <w:bottom w:w="28" w:type="dxa"/>
            </w:tcMar>
            <w:vAlign w:val="center"/>
          </w:tcPr>
          <w:p>
            <w:pPr>
              <w:pStyle w:val="TableContents"/>
              <w:bidi w:val="0"/>
              <w:spacing w:before="0" w:after="283"/>
              <w:jc w:val="left"/>
              <w:rPr>
                <w:sz w:val="4"/>
                <w:szCs w:val="4"/>
              </w:rPr>
            </w:pPr>
            <w:r>
              <w:rPr>
                <w:sz w:val="4"/>
                <w:szCs w:val="4"/>
              </w:rPr>
            </w:r>
          </w:p>
        </w:tc>
        <w:tc>
          <w:tcPr>
            <w:tcW w:w="2782" w:type="dxa"/>
            <w:tcBorders>
              <w:bottom w:val="single" w:sz="16" w:space="0" w:color="1070B8"/>
            </w:tcBorders>
            <w:shd w:fill="ACB9CA" w:val="clear"/>
            <w:tcMar>
              <w:bottom w:w="60" w:type="dxa"/>
            </w:tcMar>
            <w:vAlign w:val="center"/>
          </w:tcPr>
          <w:p>
            <w:pPr>
              <w:pStyle w:val="TableContents"/>
              <w:bidi w:val="0"/>
              <w:spacing w:before="0" w:after="283"/>
              <w:jc w:val="center"/>
              <w:rPr/>
            </w:pPr>
            <w:r>
              <w:rPr/>
              <w:t>$5,438</w:t>
            </w:r>
          </w:p>
        </w:tc>
        <w:tc>
          <w:tcPr>
            <w:tcW w:w="23" w:type="dxa"/>
            <w:tcBorders>
              <w:bottom w:val="single" w:sz="16" w:space="0" w:color="1070B8"/>
            </w:tcBorders>
            <w:shd w:fill="ACB9CA" w:val="clear"/>
            <w:tcMar>
              <w:bottom w:w="28" w:type="dxa"/>
            </w:tcMar>
            <w:vAlign w:val="center"/>
          </w:tcPr>
          <w:p>
            <w:pPr>
              <w:pStyle w:val="TableContents"/>
              <w:bidi w:val="0"/>
              <w:spacing w:before="0" w:after="283"/>
              <w:jc w:val="left"/>
              <w:rPr>
                <w:sz w:val="4"/>
                <w:szCs w:val="4"/>
              </w:rPr>
            </w:pPr>
            <w:r>
              <w:rPr>
                <w:sz w:val="4"/>
                <w:szCs w:val="4"/>
              </w:rPr>
            </w:r>
          </w:p>
        </w:tc>
        <w:tc>
          <w:tcPr>
            <w:tcW w:w="2883" w:type="dxa"/>
            <w:tcBorders>
              <w:bottom w:val="single" w:sz="16" w:space="0" w:color="1070B8"/>
            </w:tcBorders>
            <w:shd w:fill="ACB9CA" w:val="clear"/>
            <w:tcMar>
              <w:bottom w:w="60" w:type="dxa"/>
            </w:tcMar>
            <w:vAlign w:val="center"/>
          </w:tcPr>
          <w:p>
            <w:pPr>
              <w:pStyle w:val="TableContents"/>
              <w:bidi w:val="0"/>
              <w:spacing w:before="0" w:after="283"/>
              <w:jc w:val="left"/>
              <w:rPr/>
            </w:pPr>
            <w:r>
              <w:rPr/>
              <w:t> </w:t>
            </w:r>
            <w:r>
              <w:rPr/>
              <w:t>Peer Group 75th Percentile</w:t>
            </w:r>
          </w:p>
        </w:tc>
        <w:tc>
          <w:tcPr>
            <w:tcW w:w="23" w:type="dxa"/>
            <w:tcBorders>
              <w:bottom w:val="single" w:sz="16" w:space="0" w:color="1070B8"/>
            </w:tcBorders>
            <w:shd w:fill="ACB9CA" w:val="clear"/>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16" w:space="0" w:color="1070B8"/>
            </w:tcBorders>
            <w:shd w:fill="ACB9CA" w:val="clear"/>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16" w:space="0" w:color="1070B8"/>
            </w:tcBorders>
            <w:shd w:fill="ACB9CA" w:val="clear"/>
            <w:tcMar>
              <w:bottom w:w="60" w:type="dxa"/>
            </w:tcMar>
            <w:vAlign w:val="center"/>
          </w:tcPr>
          <w:p>
            <w:pPr>
              <w:pStyle w:val="TableContents"/>
              <w:bidi w:val="0"/>
              <w:spacing w:before="0" w:after="283"/>
              <w:jc w:val="left"/>
              <w:rPr/>
            </w:pPr>
            <w:r>
              <w:rPr/>
              <w:t> </w:t>
            </w:r>
          </w:p>
        </w:tc>
        <w:tc>
          <w:tcPr>
            <w:tcW w:w="1563" w:type="dxa"/>
            <w:tcBorders>
              <w:bottom w:val="single" w:sz="16" w:space="0" w:color="1070B8"/>
            </w:tcBorders>
            <w:shd w:fill="ACB9CA" w:val="clear"/>
            <w:tcMar>
              <w:bottom w:w="60" w:type="dxa"/>
            </w:tcMar>
            <w:vAlign w:val="center"/>
          </w:tcPr>
          <w:p>
            <w:pPr>
              <w:pStyle w:val="TableContents"/>
              <w:bidi w:val="0"/>
              <w:spacing w:before="0" w:after="283"/>
              <w:jc w:val="center"/>
              <w:rPr/>
            </w:pPr>
            <w:r>
              <w:rPr/>
              <w:t>$4,469</w:t>
            </w:r>
          </w:p>
        </w:tc>
        <w:tc>
          <w:tcPr>
            <w:tcW w:w="91" w:type="dxa"/>
            <w:tcBorders>
              <w:bottom w:val="single" w:sz="16" w:space="0" w:color="1070B8"/>
            </w:tcBorders>
            <w:shd w:fill="ACB9CA" w:val="clear"/>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290"/>
        <w:gridCol w:w="44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4490" w:type="dxa"/>
            <w:tcBorders/>
            <w:vAlign w:val="center"/>
          </w:tcPr>
          <w:p>
            <w:pPr>
              <w:pStyle w:val="TableContents"/>
              <w:bidi w:val="0"/>
              <w:spacing w:before="0" w:after="0"/>
              <w:jc w:val="left"/>
              <w:rPr>
                <w:rFonts w:ascii="arial" w:hAnsi="arial"/>
                <w:sz w:val="20"/>
              </w:rPr>
            </w:pPr>
            <w:r>
              <w:rPr>
                <w:rFonts w:ascii="arial" w:hAnsi="arial"/>
                <w:sz w:val="20"/>
              </w:rPr>
              <w:t xml:space="preserve">According to Bloomberg, as of December 31, 2024 </w:t>
            </w:r>
          </w:p>
        </w:tc>
      </w:tr>
    </w:tbl>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75"/>
        <w:gridCol w:w="290"/>
        <w:gridCol w:w="92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9275" w:type="dxa"/>
            <w:tcBorders/>
            <w:vAlign w:val="center"/>
          </w:tcPr>
          <w:p>
            <w:pPr>
              <w:pStyle w:val="TableContents"/>
              <w:bidi w:val="0"/>
              <w:spacing w:before="0" w:after="0"/>
              <w:jc w:val="left"/>
              <w:rPr>
                <w:rFonts w:ascii="arial" w:hAnsi="arial"/>
                <w:sz w:val="20"/>
              </w:rPr>
            </w:pPr>
            <w:r>
              <w:rPr>
                <w:rFonts w:ascii="arial" w:hAnsi="arial"/>
                <w:sz w:val="20"/>
              </w:rPr>
              <w:t xml:space="preserve">According to Bloomberg, as of December 31, 2024 or the most recently reported period as of March 2025. </w:t>
            </w:r>
          </w:p>
        </w:tc>
      </w:tr>
    </w:tbl>
    <w:p>
      <w:pPr>
        <w:pStyle w:val="TextBody"/>
        <w:bidi w:val="0"/>
        <w:spacing w:before="240" w:after="0"/>
        <w:jc w:val="left"/>
        <w:rPr>
          <w:rFonts w:ascii="arial" w:hAnsi="arial"/>
          <w:color w:val="1070B8"/>
          <w:sz w:val="22"/>
        </w:rPr>
      </w:pPr>
      <w:bookmarkStart w:id="77" w:name="txc849638_16"/>
      <w:bookmarkEnd w:id="77"/>
      <w:r>
        <w:rPr>
          <w:rFonts w:ascii="arial" w:hAnsi="arial"/>
          <w:color w:val="1070B8"/>
          <w:sz w:val="22"/>
        </w:rPr>
        <w:t xml:space="preserve">Advisory Stockholder Vote </w:t>
      </w:r>
    </w:p>
    <w:p>
      <w:pPr>
        <w:pStyle w:val="TextBody"/>
        <w:bidi w:val="0"/>
        <w:spacing w:before="240" w:after="0"/>
        <w:jc w:val="left"/>
        <w:rPr>
          <w:rFonts w:ascii="arial" w:hAnsi="arial"/>
          <w:sz w:val="20"/>
        </w:rPr>
      </w:pPr>
      <w:r>
        <w:rPr>
          <w:rFonts w:ascii="arial" w:hAnsi="arial"/>
          <w:sz w:val="20"/>
        </w:rPr>
        <w:t xml:space="preserve">Our executive compensation program received substantial stockholder support at the 2024 Annual Meeting of Stockholders, with more than 96% of the votes cast by our stockholders voting in favor. The CHC Committee believes that this level of support is indicative of our stockholders’ strong support of our executive compensation philosophy and goals. Say-on-pay votes provide valuable information regarding stockholder sentiment about our compensation program, which the CHC Committee considers when making future decisions. In accordance with the preference expressed by our stockholders in our most recent say-on-frequency vote in 2023 and as a matter of good corporate governance, our Board has committed to having an annual say-on-pay vote. </w:t>
      </w:r>
    </w:p>
    <w:p>
      <w:pPr>
        <w:pStyle w:val="TextBody"/>
        <w:bidi w:val="0"/>
        <w:spacing w:before="240" w:after="0"/>
        <w:jc w:val="left"/>
        <w:rPr>
          <w:rFonts w:ascii="arial" w:hAnsi="arial"/>
          <w:color w:val="1070B8"/>
          <w:sz w:val="22"/>
        </w:rPr>
      </w:pPr>
      <w:bookmarkStart w:id="78" w:name="txc849638_17"/>
      <w:bookmarkEnd w:id="78"/>
      <w:r>
        <w:rPr>
          <w:rFonts w:ascii="arial" w:hAnsi="arial"/>
          <w:color w:val="1070B8"/>
          <w:sz w:val="22"/>
        </w:rPr>
        <w:t xml:space="preserve">Risk Management </w:t>
      </w:r>
    </w:p>
    <w:p>
      <w:pPr>
        <w:pStyle w:val="TextBody"/>
        <w:bidi w:val="0"/>
        <w:spacing w:before="240" w:after="0"/>
        <w:jc w:val="left"/>
        <w:rPr>
          <w:rFonts w:ascii="arial" w:hAnsi="arial"/>
          <w:sz w:val="20"/>
        </w:rPr>
      </w:pPr>
      <w:r>
        <w:rPr>
          <w:rFonts w:ascii="arial" w:hAnsi="arial"/>
          <w:sz w:val="20"/>
        </w:rPr>
        <w:t xml:space="preserve">The CHC Committee regularly undertakes a risk assessment of our compensation programs with the aid of a risk analysis performed by Meridian, to determine whether our programs are appropriately designed to mitigate incentive for short-term risk-taking by executives that could be detrimental to the long-term best interests of the Company and its stockholders. The CHC Committee believes that any risks arising from our compensation programs are not reasonably likely to have a material adverse effect on the Company. The CHC Committee believes that the following features of our executive compensation program appropriately mitigate potential risks: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sz w:val="20"/>
                <w:u w:val="single"/>
              </w:rPr>
              <w:t>Performance Metrics</w:t>
            </w:r>
            <w:r>
              <w:rPr>
                <w:rFonts w:ascii="arial" w:hAnsi="arial"/>
                <w:sz w:val="20"/>
              </w:rPr>
              <w:t xml:space="preserve">. The CHC Committee sets pre-established performance metrics designed to reward success without encouraging excessive risk taking by executives.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sz w:val="20"/>
                <w:u w:val="single"/>
              </w:rPr>
              <w:t>Equity Vesting</w:t>
            </w:r>
            <w:r>
              <w:rPr>
                <w:rFonts w:ascii="arial" w:hAnsi="arial"/>
                <w:sz w:val="20"/>
              </w:rPr>
              <w:t xml:space="preserve">. Our executives are awarded performance-based restricted stock that, if earned, vests over two years of continued service, rewarding stability and sustained performance.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sz w:val="20"/>
                <w:u w:val="single"/>
              </w:rPr>
              <w:t>Equity Retention</w:t>
            </w:r>
            <w:r>
              <w:rPr>
                <w:rFonts w:ascii="arial" w:hAnsi="arial"/>
                <w:sz w:val="20"/>
              </w:rPr>
              <w:t xml:space="preserve">. Our stock ownership policy requires our executives to own prescribed levels of Company common stock, linking their interests with those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sz w:val="20"/>
                <w:u w:val="single"/>
              </w:rPr>
              <w:t>No Hedging or Pledging</w:t>
            </w:r>
            <w:r>
              <w:rPr>
                <w:rFonts w:ascii="arial" w:hAnsi="arial"/>
                <w:sz w:val="20"/>
              </w:rPr>
              <w:t>. Our executives are prohibited from engaging in hedging or other monetization transactions involving Company securities, pledging Company securities as collateral and holding Company securities as collateral in a margin account (the Board has made an exception for our CEO in connection with financing arrangements made by a family owned investment vehicle, see Footnote 2 in the “</w:t>
            </w:r>
            <w:r>
              <w:rPr>
                <w:rFonts w:ascii="arial" w:hAnsi="arial"/>
                <w:i/>
                <w:sz w:val="20"/>
              </w:rPr>
              <w:t>Stock Ownership Table”</w:t>
            </w:r>
            <w:r>
              <w:rPr>
                <w:rFonts w:ascii="arial" w:hAnsi="arial"/>
                <w:sz w:val="20"/>
              </w:rPr>
              <w:t xml:space="preserve"> beginning on page 79).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sz w:val="20"/>
                <w:u w:val="single"/>
              </w:rPr>
              <w:t>Clawback Policies</w:t>
            </w:r>
            <w:r>
              <w:rPr>
                <w:rFonts w:ascii="arial" w:hAnsi="arial"/>
                <w:sz w:val="20"/>
              </w:rPr>
              <w:t xml:space="preserve">. The CHC Committee will recoup excess incentive compensation paid to an executive in the event of a restatement of our financial statements, and may recoup such compensation if an executive has engaged in grossly negligent or intentional misconduct that is a significant contributing factor to an accounting restatement, a significant increase in the value of such executive’s incentive compensation or substantial financial or reputational harm to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sz w:val="20"/>
                <w:u w:val="single"/>
              </w:rPr>
              <w:t>Other Factors</w:t>
            </w:r>
            <w:r>
              <w:rPr>
                <w:rFonts w:ascii="arial" w:hAnsi="arial"/>
                <w:sz w:val="20"/>
              </w:rPr>
              <w:t xml:space="preserve">. Other mitigating factors include benchmarking practices, oversight by a committee of independent directors and a mix of fixed and variable incentive compensation. </w:t>
            </w:r>
          </w:p>
        </w:tc>
      </w:tr>
    </w:tbl>
    <w:p>
      <w:pPr>
        <w:pStyle w:val="TextBody"/>
        <w:bidi w:val="0"/>
        <w:spacing w:before="240" w:after="0"/>
        <w:jc w:val="left"/>
        <w:rPr>
          <w:rFonts w:ascii="arial" w:hAnsi="arial"/>
          <w:b/>
          <w:color w:val="1F295C"/>
          <w:sz w:val="24"/>
        </w:rPr>
      </w:pPr>
      <w:bookmarkStart w:id="79" w:name="toc849638_61c"/>
      <w:bookmarkEnd w:id="79"/>
      <w:r>
        <w:rPr>
          <w:rFonts w:ascii="arial" w:hAnsi="arial"/>
          <w:b/>
          <w:color w:val="1F295C"/>
          <w:sz w:val="24"/>
        </w:rPr>
        <w:t xml:space="preserve">Section 3 – Elements of our Compensation Program </w:t>
      </w:r>
    </w:p>
    <w:p>
      <w:pPr>
        <w:pStyle w:val="TextBody"/>
        <w:bidi w:val="0"/>
        <w:spacing w:before="240" w:after="0"/>
        <w:jc w:val="left"/>
        <w:rPr>
          <w:rFonts w:ascii="arial" w:hAnsi="arial"/>
          <w:color w:val="1070B8"/>
          <w:sz w:val="22"/>
        </w:rPr>
      </w:pPr>
      <w:bookmarkStart w:id="80" w:name="txc849638_18"/>
      <w:bookmarkEnd w:id="80"/>
      <w:r>
        <w:rPr>
          <w:rFonts w:ascii="arial" w:hAnsi="arial"/>
          <w:color w:val="1070B8"/>
          <w:sz w:val="22"/>
        </w:rPr>
        <w:t xml:space="preserve">Compensation Components </w:t>
      </w:r>
    </w:p>
    <w:p>
      <w:pPr>
        <w:pStyle w:val="TextBody"/>
        <w:bidi w:val="0"/>
        <w:spacing w:before="240" w:after="0"/>
        <w:jc w:val="left"/>
        <w:rPr>
          <w:rFonts w:ascii="arial" w:hAnsi="arial"/>
          <w:sz w:val="20"/>
        </w:rPr>
      </w:pPr>
      <w:r>
        <w:rPr>
          <w:rFonts w:ascii="arial" w:hAnsi="arial"/>
          <w:sz w:val="20"/>
        </w:rPr>
        <w:t xml:space="preserve">Our executive compensation program is designed to be simple, competitive and link pay to performance. We design our executive compensation program to reward financial and operational performance and to promote effective strategic leadership. Our approach to executive compensation for the 2024 fiscal year was substantially the same as the approach approved by our stockholders at the 2024 Annual Meeting of Stockholders. </w:t>
      </w:r>
    </w:p>
    <w:p>
      <w:pPr>
        <w:pStyle w:val="TextBody"/>
        <w:bidi w:val="0"/>
        <w:spacing w:before="240" w:after="0"/>
        <w:jc w:val="left"/>
        <w:rPr>
          <w:rFonts w:ascii="arial" w:hAnsi="arial"/>
          <w:sz w:val="20"/>
        </w:rPr>
      </w:pPr>
      <w:r>
        <w:rPr>
          <w:rFonts w:ascii="arial" w:hAnsi="arial"/>
          <w:sz w:val="20"/>
        </w:rPr>
        <w:t xml:space="preserve">Our executive compensation program includes the following three key elements: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5"/>
        <w:gridCol w:w="60"/>
        <w:gridCol w:w="2157"/>
        <w:gridCol w:w="120"/>
        <w:gridCol w:w="3374"/>
        <w:gridCol w:w="120"/>
        <w:gridCol w:w="4009"/>
      </w:tblGrid>
      <w:tr>
        <w:trPr/>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09" w:type="dxa"/>
            <w:tcBorders/>
            <w:vAlign w:val="center"/>
          </w:tcPr>
          <w:p>
            <w:pPr>
              <w:pStyle w:val="TableContents"/>
              <w:bidi w:val="0"/>
              <w:spacing w:before="0" w:after="283"/>
              <w:jc w:val="left"/>
              <w:rPr>
                <w:sz w:val="4"/>
                <w:szCs w:val="4"/>
              </w:rPr>
            </w:pPr>
            <w:r>
              <w:rPr>
                <w:sz w:val="4"/>
                <w:szCs w:val="4"/>
              </w:rPr>
            </w:r>
          </w:p>
        </w:tc>
      </w:tr>
      <w:tr>
        <w:trPr/>
        <w:tc>
          <w:tcPr>
            <w:tcW w:w="365" w:type="dxa"/>
            <w:tcBorders/>
            <w:vAlign w:val="center"/>
          </w:tcPr>
          <w:p>
            <w:pPr>
              <w:pStyle w:val="TableContents"/>
              <w:bidi w:val="0"/>
              <w:spacing w:before="0" w:after="283"/>
              <w:jc w:val="left"/>
              <w:rPr>
                <w:sz w:val="4"/>
                <w:szCs w:val="4"/>
              </w:rPr>
            </w:pPr>
            <w:r>
              <w:rPr>
                <w:sz w:val="4"/>
                <w:szCs w:val="4"/>
              </w:rPr>
            </w:r>
          </w:p>
        </w:tc>
        <w:tc>
          <w:tcPr>
            <w:tcW w:w="2217" w:type="dxa"/>
            <w:gridSpan w:val="2"/>
            <w:tcBorders/>
            <w:shd w:fill="1F295C" w:val="clear"/>
            <w:vAlign w:val="center"/>
          </w:tcPr>
          <w:p>
            <w:pPr>
              <w:pStyle w:val="TableContents"/>
              <w:bidi w:val="0"/>
              <w:spacing w:before="0" w:after="283"/>
              <w:jc w:val="left"/>
              <w:rPr>
                <w:sz w:val="4"/>
                <w:szCs w:val="4"/>
              </w:rPr>
            </w:pPr>
            <w:r>
              <w:rPr>
                <w:sz w:val="4"/>
                <w:szCs w:val="4"/>
              </w:rPr>
            </w:r>
          </w:p>
        </w:tc>
        <w:tc>
          <w:tcPr>
            <w:tcW w:w="3494" w:type="dxa"/>
            <w:gridSpan w:val="2"/>
            <w:tcBorders/>
            <w:shd w:fill="1F295C" w:val="clear"/>
            <w:vAlign w:val="center"/>
          </w:tcPr>
          <w:p>
            <w:pPr>
              <w:pStyle w:val="TableContents"/>
              <w:bidi w:val="0"/>
              <w:spacing w:before="0" w:after="283"/>
              <w:jc w:val="left"/>
              <w:rPr>
                <w:sz w:val="4"/>
                <w:szCs w:val="4"/>
              </w:rPr>
            </w:pPr>
            <w:r>
              <w:rPr>
                <w:sz w:val="4"/>
                <w:szCs w:val="4"/>
              </w:rPr>
            </w:r>
          </w:p>
        </w:tc>
        <w:tc>
          <w:tcPr>
            <w:tcW w:w="4129" w:type="dxa"/>
            <w:gridSpan w:val="2"/>
            <w:tcBorders/>
            <w:shd w:fill="1F295C" w:val="clear"/>
            <w:vAlign w:val="center"/>
          </w:tcPr>
          <w:p>
            <w:pPr>
              <w:pStyle w:val="TableContents"/>
              <w:bidi w:val="0"/>
              <w:spacing w:before="0" w:after="283"/>
              <w:jc w:val="left"/>
              <w:rPr>
                <w:sz w:val="4"/>
                <w:szCs w:val="4"/>
              </w:rPr>
            </w:pPr>
            <w:r>
              <w:rPr>
                <w:sz w:val="4"/>
                <w:szCs w:val="4"/>
              </w:rPr>
            </w:r>
          </w:p>
        </w:tc>
      </w:tr>
      <w:tr>
        <w:trPr/>
        <w:tc>
          <w:tcPr>
            <w:tcW w:w="365"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1F295C" w:val="clear"/>
            <w:vAlign w:val="center"/>
          </w:tcPr>
          <w:p>
            <w:pPr>
              <w:pStyle w:val="TableContents"/>
              <w:bidi w:val="0"/>
              <w:spacing w:before="0" w:after="283"/>
              <w:jc w:val="left"/>
              <w:rPr/>
            </w:pPr>
            <w:r>
              <w:rPr/>
              <w:t> </w:t>
            </w:r>
          </w:p>
        </w:tc>
        <w:tc>
          <w:tcPr>
            <w:tcW w:w="2157" w:type="dxa"/>
            <w:tcBorders/>
            <w:shd w:fill="1F295C" w:val="clear"/>
            <w:vAlign w:val="center"/>
          </w:tcPr>
          <w:p>
            <w:pPr>
              <w:pStyle w:val="TableContents"/>
              <w:bidi w:val="0"/>
              <w:spacing w:before="0" w:after="283"/>
              <w:jc w:val="center"/>
              <w:rPr>
                <w:b/>
                <w:color w:val="FFFFFF"/>
              </w:rPr>
            </w:pPr>
            <w:r>
              <w:rPr>
                <w:b/>
                <w:color w:val="FFFFFF"/>
              </w:rPr>
              <w:t>Element</w:t>
            </w:r>
          </w:p>
        </w:tc>
        <w:tc>
          <w:tcPr>
            <w:tcW w:w="120" w:type="dxa"/>
            <w:tcBorders/>
            <w:shd w:fill="1F295C" w:val="clear"/>
            <w:vAlign w:val="center"/>
          </w:tcPr>
          <w:p>
            <w:pPr>
              <w:pStyle w:val="TableContents"/>
              <w:bidi w:val="0"/>
              <w:spacing w:before="0" w:after="283"/>
              <w:jc w:val="left"/>
              <w:rPr/>
            </w:pPr>
            <w:r>
              <w:rPr/>
              <w:t>  </w:t>
            </w:r>
          </w:p>
        </w:tc>
        <w:tc>
          <w:tcPr>
            <w:tcW w:w="3374" w:type="dxa"/>
            <w:tcBorders/>
            <w:shd w:fill="1F295C" w:val="clear"/>
            <w:vAlign w:val="center"/>
          </w:tcPr>
          <w:p>
            <w:pPr>
              <w:pStyle w:val="TableContents"/>
              <w:bidi w:val="0"/>
              <w:spacing w:before="0" w:after="283"/>
              <w:jc w:val="center"/>
              <w:rPr>
                <w:b/>
                <w:color w:val="FFFFFF"/>
              </w:rPr>
            </w:pPr>
            <w:r>
              <w:rPr>
                <w:b/>
                <w:color w:val="FFFFFF"/>
              </w:rPr>
              <w:t>Design</w:t>
            </w:r>
          </w:p>
        </w:tc>
        <w:tc>
          <w:tcPr>
            <w:tcW w:w="120" w:type="dxa"/>
            <w:tcBorders/>
            <w:shd w:fill="1F295C" w:val="clear"/>
            <w:vAlign w:val="center"/>
          </w:tcPr>
          <w:p>
            <w:pPr>
              <w:pStyle w:val="TableContents"/>
              <w:bidi w:val="0"/>
              <w:spacing w:before="0" w:after="283"/>
              <w:jc w:val="left"/>
              <w:rPr/>
            </w:pPr>
            <w:r>
              <w:rPr/>
              <w:t>  </w:t>
            </w:r>
          </w:p>
        </w:tc>
        <w:tc>
          <w:tcPr>
            <w:tcW w:w="4009" w:type="dxa"/>
            <w:tcBorders/>
            <w:shd w:fill="1F295C" w:val="clear"/>
            <w:vAlign w:val="center"/>
          </w:tcPr>
          <w:p>
            <w:pPr>
              <w:pStyle w:val="TableContents"/>
              <w:bidi w:val="0"/>
              <w:spacing w:before="0" w:after="283"/>
              <w:jc w:val="center"/>
              <w:rPr>
                <w:b/>
                <w:color w:val="FFFFFF"/>
              </w:rPr>
            </w:pPr>
            <w:r>
              <w:rPr>
                <w:b/>
                <w:color w:val="FFFFFF"/>
              </w:rPr>
              <w:t>Purpose</w:t>
            </w:r>
          </w:p>
        </w:tc>
      </w:tr>
      <w:tr>
        <w:trPr/>
        <w:tc>
          <w:tcPr>
            <w:tcW w:w="365" w:type="dxa"/>
            <w:tcBorders/>
            <w:shd w:fill="0A1463" w:val="clear"/>
            <w:vAlign w:val="center"/>
          </w:tcPr>
          <w:p>
            <w:pPr>
              <w:pStyle w:val="TableContents"/>
              <w:bidi w:val="0"/>
              <w:spacing w:before="0" w:after="283"/>
              <w:jc w:val="left"/>
              <w:rPr>
                <w:sz w:val="4"/>
                <w:szCs w:val="4"/>
              </w:rPr>
            </w:pPr>
            <w:r>
              <w:rPr>
                <w:sz w:val="4"/>
                <w:szCs w:val="4"/>
              </w:rPr>
            </w:r>
          </w:p>
        </w:tc>
        <w:tc>
          <w:tcPr>
            <w:tcW w:w="2217" w:type="dxa"/>
            <w:gridSpan w:val="2"/>
            <w:tcBorders/>
            <w:shd w:fill="D5DBE3" w:val="clear"/>
            <w:vAlign w:val="center"/>
          </w:tcPr>
          <w:p>
            <w:pPr>
              <w:pStyle w:val="TableContents"/>
              <w:bidi w:val="0"/>
              <w:spacing w:before="0" w:after="283"/>
              <w:jc w:val="left"/>
              <w:rPr>
                <w:sz w:val="4"/>
                <w:szCs w:val="4"/>
              </w:rPr>
            </w:pPr>
            <w:r>
              <w:rPr>
                <w:sz w:val="4"/>
                <w:szCs w:val="4"/>
              </w:rPr>
            </w:r>
          </w:p>
        </w:tc>
        <w:tc>
          <w:tcPr>
            <w:tcW w:w="3494" w:type="dxa"/>
            <w:gridSpan w:val="2"/>
            <w:tcBorders/>
            <w:vAlign w:val="center"/>
          </w:tcPr>
          <w:p>
            <w:pPr>
              <w:pStyle w:val="TableContents"/>
              <w:bidi w:val="0"/>
              <w:spacing w:before="0" w:after="283"/>
              <w:jc w:val="left"/>
              <w:rPr>
                <w:sz w:val="4"/>
                <w:szCs w:val="4"/>
              </w:rPr>
            </w:pPr>
            <w:r>
              <w:rPr>
                <w:sz w:val="4"/>
                <w:szCs w:val="4"/>
              </w:rPr>
            </w:r>
          </w:p>
        </w:tc>
        <w:tc>
          <w:tcPr>
            <w:tcW w:w="4129" w:type="dxa"/>
            <w:gridSpan w:val="2"/>
            <w:tcBorders/>
            <w:vAlign w:val="center"/>
          </w:tcPr>
          <w:p>
            <w:pPr>
              <w:pStyle w:val="TableContents"/>
              <w:bidi w:val="0"/>
              <w:spacing w:before="0" w:after="283"/>
              <w:jc w:val="left"/>
              <w:rPr>
                <w:sz w:val="4"/>
                <w:szCs w:val="4"/>
              </w:rPr>
            </w:pPr>
            <w:r>
              <w:rPr>
                <w:sz w:val="4"/>
                <w:szCs w:val="4"/>
              </w:rPr>
            </w:r>
          </w:p>
        </w:tc>
      </w:tr>
      <w:tr>
        <w:trPr/>
        <w:tc>
          <w:tcPr>
            <w:tcW w:w="365" w:type="dxa"/>
            <w:tcBorders>
              <w:bottom w:val="single" w:sz="12" w:space="0" w:color="1070B8"/>
            </w:tcBorders>
            <w:shd w:fill="0A1463" w:val="clear"/>
            <w:tcMar>
              <w:bottom w:w="28" w:type="dxa"/>
            </w:tcMar>
            <w:vAlign w:val="center"/>
          </w:tcPr>
          <w:p>
            <w:pPr>
              <w:pStyle w:val="TableContents"/>
              <w:bidi w:val="0"/>
              <w:spacing w:before="0" w:after="0"/>
              <w:jc w:val="center"/>
              <w:rPr/>
            </w:pPr>
            <w:r>
              <w:rPr/>
              <w:drawing>
                <wp:inline distT="0" distB="0" distL="0" distR="0">
                  <wp:extent cx="190500" cy="508000"/>
                  <wp:effectExtent l="0" t="0" r="0" b="0"/>
                  <wp:docPr id="8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3" descr=""/>
                          <pic:cNvPicPr>
                            <a:picLocks noChangeAspect="1" noChangeArrowheads="1"/>
                          </pic:cNvPicPr>
                        </pic:nvPicPr>
                        <pic:blipFill>
                          <a:blip r:embed="rId84"/>
                          <a:stretch>
                            <a:fillRect/>
                          </a:stretch>
                        </pic:blipFill>
                        <pic:spPr bwMode="auto">
                          <a:xfrm>
                            <a:off x="0" y="0"/>
                            <a:ext cx="190500" cy="508000"/>
                          </a:xfrm>
                          <a:prstGeom prst="rect">
                            <a:avLst/>
                          </a:prstGeom>
                        </pic:spPr>
                      </pic:pic>
                    </a:graphicData>
                  </a:graphic>
                </wp:inline>
              </w:drawing>
            </w:r>
            <w:r>
              <w:rPr/>
              <w:t xml:space="preserve"> </w:t>
            </w:r>
          </w:p>
        </w:tc>
        <w:tc>
          <w:tcPr>
            <w:tcW w:w="60" w:type="dxa"/>
            <w:tcBorders>
              <w:bottom w:val="single" w:sz="12" w:space="0" w:color="1070B8"/>
            </w:tcBorders>
            <w:shd w:fill="D5DBE3" w:val="clear"/>
            <w:tcMar>
              <w:bottom w:w="28" w:type="dxa"/>
            </w:tcMar>
            <w:vAlign w:val="center"/>
          </w:tcPr>
          <w:p>
            <w:pPr>
              <w:pStyle w:val="TableContents"/>
              <w:bidi w:val="0"/>
              <w:spacing w:before="0" w:after="283"/>
              <w:jc w:val="left"/>
              <w:rPr/>
            </w:pPr>
            <w:r>
              <w:rPr/>
              <w:t> </w:t>
            </w:r>
          </w:p>
        </w:tc>
        <w:tc>
          <w:tcPr>
            <w:tcW w:w="2157" w:type="dxa"/>
            <w:tcBorders>
              <w:bottom w:val="single" w:sz="12" w:space="0" w:color="1070B8"/>
            </w:tcBorders>
            <w:shd w:fill="D5DBE3" w:val="clear"/>
            <w:tcMar>
              <w:bottom w:w="28" w:type="dxa"/>
            </w:tcMar>
            <w:vAlign w:val="center"/>
          </w:tcPr>
          <w:p>
            <w:pPr>
              <w:pStyle w:val="TableContents"/>
              <w:bidi w:val="0"/>
              <w:spacing w:before="0" w:after="283"/>
              <w:jc w:val="left"/>
              <w:rPr/>
            </w:pPr>
            <w:r>
              <w:rPr/>
              <w:t>Base Salary</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3374" w:type="dxa"/>
            <w:tcBorders>
              <w:bottom w:val="single" w:sz="12" w:space="0" w:color="1070B8"/>
            </w:tcBorders>
            <w:tcMar>
              <w:bottom w:w="28" w:type="dxa"/>
            </w:tcMar>
            <w:vAlign w:val="center"/>
          </w:tcPr>
          <w:p>
            <w:pPr>
              <w:pStyle w:val="TableContents"/>
              <w:bidi w:val="0"/>
              <w:spacing w:before="0" w:after="0"/>
              <w:jc w:val="left"/>
              <w:rPr/>
            </w:pPr>
            <w:r>
              <w:rPr>
                <w:color w:val="1F295C"/>
              </w:rPr>
              <w:t>∎</w:t>
            </w:r>
            <w:r>
              <w:rPr/>
              <w:t>  </w:t>
            </w:r>
            <w:r>
              <w:rPr>
                <w:rFonts w:ascii="arial" w:hAnsi="arial"/>
                <w:sz w:val="20"/>
              </w:rPr>
              <w:t>Fixed cash compensation.</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Reviewed annually and adjusted as appropriate, based on level of responsibility, performance, internal pay equity and competitiveness.</w:t>
            </w:r>
          </w:p>
          <w:p>
            <w:pPr>
              <w:pStyle w:val="TableContents"/>
              <w:bidi w:val="0"/>
              <w:spacing w:before="0" w:after="20"/>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4009" w:type="dxa"/>
            <w:tcBorders>
              <w:bottom w:val="single" w:sz="12" w:space="0" w:color="1070B8"/>
            </w:tcBorders>
            <w:tcMar>
              <w:bottom w:w="28" w:type="dxa"/>
            </w:tcMar>
            <w:vAlign w:val="center"/>
          </w:tcPr>
          <w:p>
            <w:pPr>
              <w:pStyle w:val="TableContents"/>
              <w:bidi w:val="0"/>
              <w:spacing w:before="0" w:after="0"/>
              <w:jc w:val="left"/>
              <w:rPr/>
            </w:pPr>
            <w:r>
              <w:rPr>
                <w:color w:val="1F295C"/>
              </w:rPr>
              <w:t>∎</w:t>
            </w:r>
            <w:r>
              <w:rPr/>
              <w:t>  </w:t>
            </w:r>
            <w:r>
              <w:rPr>
                <w:rFonts w:ascii="arial" w:hAnsi="arial"/>
                <w:sz w:val="20"/>
              </w:rPr>
              <w:t>Provides a fixed source of income to attract and retain executives with proven skills and leadership abilities.</w:t>
            </w:r>
          </w:p>
          <w:p>
            <w:pPr>
              <w:pStyle w:val="TableContents"/>
              <w:bidi w:val="0"/>
              <w:spacing w:before="0" w:after="0"/>
              <w:jc w:val="left"/>
              <w:rPr/>
            </w:pPr>
            <w:r>
              <w:rPr/>
              <w:t> </w:t>
            </w:r>
          </w:p>
          <w:p>
            <w:pPr>
              <w:pStyle w:val="TableContents"/>
              <w:bidi w:val="0"/>
              <w:spacing w:before="0" w:after="20"/>
              <w:jc w:val="left"/>
              <w:rPr/>
            </w:pPr>
            <w:r>
              <w:rPr>
                <w:color w:val="1F295C"/>
              </w:rPr>
              <w:t>∎</w:t>
            </w:r>
            <w:r>
              <w:rPr/>
              <w:t>  </w:t>
            </w:r>
            <w:r>
              <w:rPr>
                <w:rFonts w:ascii="arial" w:hAnsi="arial"/>
                <w:sz w:val="20"/>
              </w:rPr>
              <w:t>Rewards scope of responsibility, experience and individual performance.</w:t>
            </w:r>
          </w:p>
        </w:tc>
      </w:tr>
      <w:tr>
        <w:trPr/>
        <w:tc>
          <w:tcPr>
            <w:tcW w:w="365" w:type="dxa"/>
            <w:tcBorders/>
            <w:shd w:fill="0A1463" w:val="clear"/>
            <w:vAlign w:val="center"/>
          </w:tcPr>
          <w:p>
            <w:pPr>
              <w:pStyle w:val="TableContents"/>
              <w:bidi w:val="0"/>
              <w:spacing w:before="0" w:after="283"/>
              <w:jc w:val="left"/>
              <w:rPr>
                <w:sz w:val="4"/>
                <w:szCs w:val="4"/>
              </w:rPr>
            </w:pPr>
            <w:r>
              <w:rPr>
                <w:sz w:val="4"/>
                <w:szCs w:val="4"/>
              </w:rPr>
            </w:r>
          </w:p>
        </w:tc>
        <w:tc>
          <w:tcPr>
            <w:tcW w:w="2217" w:type="dxa"/>
            <w:gridSpan w:val="2"/>
            <w:tcBorders/>
            <w:shd w:fill="D5DBE3" w:val="clear"/>
            <w:vAlign w:val="center"/>
          </w:tcPr>
          <w:p>
            <w:pPr>
              <w:pStyle w:val="TableContents"/>
              <w:bidi w:val="0"/>
              <w:spacing w:before="0" w:after="283"/>
              <w:jc w:val="left"/>
              <w:rPr>
                <w:sz w:val="4"/>
                <w:szCs w:val="4"/>
              </w:rPr>
            </w:pPr>
            <w:r>
              <w:rPr>
                <w:sz w:val="4"/>
                <w:szCs w:val="4"/>
              </w:rPr>
            </w:r>
          </w:p>
        </w:tc>
        <w:tc>
          <w:tcPr>
            <w:tcW w:w="3494" w:type="dxa"/>
            <w:gridSpan w:val="2"/>
            <w:tcBorders/>
            <w:vAlign w:val="center"/>
          </w:tcPr>
          <w:p>
            <w:pPr>
              <w:pStyle w:val="TableContents"/>
              <w:bidi w:val="0"/>
              <w:spacing w:before="0" w:after="283"/>
              <w:jc w:val="left"/>
              <w:rPr>
                <w:sz w:val="4"/>
                <w:szCs w:val="4"/>
              </w:rPr>
            </w:pPr>
            <w:r>
              <w:rPr>
                <w:sz w:val="4"/>
                <w:szCs w:val="4"/>
              </w:rPr>
            </w:r>
          </w:p>
        </w:tc>
        <w:tc>
          <w:tcPr>
            <w:tcW w:w="4129" w:type="dxa"/>
            <w:gridSpan w:val="2"/>
            <w:tcBorders/>
            <w:vAlign w:val="center"/>
          </w:tcPr>
          <w:p>
            <w:pPr>
              <w:pStyle w:val="TableContents"/>
              <w:bidi w:val="0"/>
              <w:spacing w:before="0" w:after="283"/>
              <w:jc w:val="left"/>
              <w:rPr>
                <w:sz w:val="4"/>
                <w:szCs w:val="4"/>
              </w:rPr>
            </w:pPr>
            <w:r>
              <w:rPr>
                <w:sz w:val="4"/>
                <w:szCs w:val="4"/>
              </w:rPr>
            </w:r>
          </w:p>
        </w:tc>
      </w:tr>
      <w:tr>
        <w:trPr/>
        <w:tc>
          <w:tcPr>
            <w:tcW w:w="365" w:type="dxa"/>
            <w:vMerge w:val="restart"/>
            <w:tcBorders>
              <w:bottom w:val="single" w:sz="12" w:space="0" w:color="1070B8"/>
            </w:tcBorders>
            <w:shd w:fill="0A1463" w:val="clear"/>
            <w:tcMar>
              <w:bottom w:w="28" w:type="dxa"/>
            </w:tcMar>
            <w:vAlign w:val="center"/>
          </w:tcPr>
          <w:p>
            <w:pPr>
              <w:pStyle w:val="TableContents"/>
              <w:bidi w:val="0"/>
              <w:spacing w:before="0" w:after="0"/>
              <w:jc w:val="center"/>
              <w:rPr/>
            </w:pPr>
            <w:r>
              <w:rPr/>
              <w:drawing>
                <wp:inline distT="0" distB="0" distL="0" distR="0">
                  <wp:extent cx="215900" cy="508000"/>
                  <wp:effectExtent l="0" t="0" r="0" b="0"/>
                  <wp:docPr id="8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4" descr=""/>
                          <pic:cNvPicPr>
                            <a:picLocks noChangeAspect="1" noChangeArrowheads="1"/>
                          </pic:cNvPicPr>
                        </pic:nvPicPr>
                        <pic:blipFill>
                          <a:blip r:embed="rId85"/>
                          <a:stretch>
                            <a:fillRect/>
                          </a:stretch>
                        </pic:blipFill>
                        <pic:spPr bwMode="auto">
                          <a:xfrm>
                            <a:off x="0" y="0"/>
                            <a:ext cx="215900" cy="508000"/>
                          </a:xfrm>
                          <a:prstGeom prst="rect">
                            <a:avLst/>
                          </a:prstGeom>
                        </pic:spPr>
                      </pic:pic>
                    </a:graphicData>
                  </a:graphic>
                </wp:inline>
              </w:drawing>
            </w:r>
            <w:r>
              <w:rPr/>
              <w:t xml:space="preserve"> </w:t>
            </w:r>
          </w:p>
        </w:tc>
        <w:tc>
          <w:tcPr>
            <w:tcW w:w="60" w:type="dxa"/>
            <w:tcBorders>
              <w:bottom w:val="single" w:sz="12" w:space="0" w:color="1070B8"/>
            </w:tcBorders>
            <w:shd w:fill="D5DBE3" w:val="clear"/>
            <w:tcMar>
              <w:bottom w:w="28" w:type="dxa"/>
            </w:tcMar>
            <w:vAlign w:val="center"/>
          </w:tcPr>
          <w:p>
            <w:pPr>
              <w:pStyle w:val="TableContents"/>
              <w:bidi w:val="0"/>
              <w:spacing w:before="0" w:after="283"/>
              <w:jc w:val="left"/>
              <w:rPr/>
            </w:pPr>
            <w:r>
              <w:rPr/>
              <w:t> </w:t>
            </w:r>
          </w:p>
        </w:tc>
        <w:tc>
          <w:tcPr>
            <w:tcW w:w="2157" w:type="dxa"/>
            <w:tcBorders>
              <w:bottom w:val="single" w:sz="12" w:space="0" w:color="1070B8"/>
            </w:tcBorders>
            <w:shd w:fill="D5DBE3" w:val="clear"/>
            <w:tcMar>
              <w:bottom w:w="28" w:type="dxa"/>
            </w:tcMar>
            <w:vAlign w:val="center"/>
          </w:tcPr>
          <w:p>
            <w:pPr>
              <w:pStyle w:val="TableContents"/>
              <w:bidi w:val="0"/>
              <w:spacing w:before="0" w:after="283"/>
              <w:jc w:val="left"/>
              <w:rPr/>
            </w:pPr>
            <w:r>
              <w:rPr/>
              <w:t>Performance-Based Cash Incentives</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3374" w:type="dxa"/>
            <w:tcBorders>
              <w:bottom w:val="single" w:sz="12" w:space="0" w:color="1070B8"/>
            </w:tcBorders>
            <w:tcMar>
              <w:bottom w:w="28" w:type="dxa"/>
            </w:tcMar>
            <w:vAlign w:val="center"/>
          </w:tcPr>
          <w:p>
            <w:pPr>
              <w:pStyle w:val="TableContents"/>
              <w:bidi w:val="0"/>
              <w:spacing w:before="0" w:after="0"/>
              <w:jc w:val="left"/>
              <w:rPr/>
            </w:pPr>
            <w:r>
              <w:rPr>
                <w:color w:val="1F295C"/>
              </w:rPr>
              <w:t>∎</w:t>
            </w:r>
            <w:r>
              <w:rPr/>
              <w:t>  </w:t>
            </w:r>
            <w:r>
              <w:rPr>
                <w:rFonts w:ascii="arial" w:hAnsi="arial"/>
                <w:sz w:val="20"/>
              </w:rPr>
              <w:t>At-risk cash compensation based on achievement of objective pre-established corporate financial performance goals.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Earned only if at least 50% of target goal is achieved; capped at 200% of target.</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Performance metric is Adjusted EBITDA.</w:t>
            </w:r>
          </w:p>
          <w:p>
            <w:pPr>
              <w:pStyle w:val="TableContents"/>
              <w:bidi w:val="0"/>
              <w:spacing w:before="0" w:after="20"/>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4009" w:type="dxa"/>
            <w:tcBorders>
              <w:bottom w:val="single" w:sz="12" w:space="0" w:color="1070B8"/>
            </w:tcBorders>
            <w:tcMar>
              <w:bottom w:w="28" w:type="dxa"/>
            </w:tcMar>
            <w:vAlign w:val="center"/>
          </w:tcPr>
          <w:p>
            <w:pPr>
              <w:pStyle w:val="TableContents"/>
              <w:bidi w:val="0"/>
              <w:spacing w:before="0" w:after="0"/>
              <w:jc w:val="left"/>
              <w:rPr/>
            </w:pPr>
            <w:r>
              <w:rPr>
                <w:color w:val="1F295C"/>
              </w:rPr>
              <w:t>∎</w:t>
            </w:r>
            <w:r>
              <w:rPr/>
              <w:t>  </w:t>
            </w:r>
            <w:r>
              <w:rPr>
                <w:rFonts w:ascii="arial" w:hAnsi="arial"/>
                <w:sz w:val="20"/>
              </w:rPr>
              <w:t>To motivate and reward executives to achieve short term performance objectives that are key to our annual financial and strategic goals, without creating an incentive to take excessive risk.</w:t>
            </w:r>
          </w:p>
        </w:tc>
      </w:tr>
      <w:tr>
        <w:trPr/>
        <w:tc>
          <w:tcPr>
            <w:tcW w:w="365" w:type="dxa"/>
            <w:vMerge w:val="continue"/>
            <w:tcBorders>
              <w:bottom w:val="single" w:sz="12" w:space="0" w:color="1070B8"/>
            </w:tcBorders>
            <w:shd w:fill="0A1463" w:val="clear"/>
            <w:tcMar>
              <w:bottom w:w="28" w:type="dxa"/>
            </w:tcMar>
            <w:vAlign w:val="center"/>
          </w:tcPr>
          <w:p>
            <w:pPr>
              <w:pStyle w:val="Normal"/>
              <w:bidi w:val="0"/>
              <w:jc w:val="left"/>
              <w:rPr/>
            </w:pPr>
            <w:r>
              <w:rPr/>
            </w:r>
          </w:p>
        </w:tc>
        <w:tc>
          <w:tcPr>
            <w:tcW w:w="60" w:type="dxa"/>
            <w:tcBorders>
              <w:bottom w:val="single" w:sz="12" w:space="0" w:color="1070B8"/>
            </w:tcBorders>
            <w:shd w:fill="D5DBE3" w:val="clear"/>
            <w:tcMar>
              <w:bottom w:w="28" w:type="dxa"/>
            </w:tcMar>
            <w:vAlign w:val="center"/>
          </w:tcPr>
          <w:p>
            <w:pPr>
              <w:pStyle w:val="TableContents"/>
              <w:bidi w:val="0"/>
              <w:spacing w:before="0" w:after="283"/>
              <w:jc w:val="left"/>
              <w:rPr/>
            </w:pPr>
            <w:r>
              <w:rPr/>
              <w:t> </w:t>
            </w:r>
          </w:p>
        </w:tc>
        <w:tc>
          <w:tcPr>
            <w:tcW w:w="2157" w:type="dxa"/>
            <w:tcBorders>
              <w:bottom w:val="single" w:sz="12" w:space="0" w:color="1070B8"/>
            </w:tcBorders>
            <w:shd w:fill="D5DBE3" w:val="clear"/>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Performance-Based Equity Incentives</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3374" w:type="dxa"/>
            <w:tcBorders>
              <w:bottom w:val="single" w:sz="12" w:space="0" w:color="1070B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At-risk equity compensation based on achievement of objective, pre-established corporate financial performance goals.</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Granted as shares of restricted stock.</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Earned only if at least 50% of target goal is achieved; capped at 200% of target.</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Performance metric is Adjusted EBITDA.</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Vests over two years of continued service after satisfaction of performance goals.</w:t>
            </w:r>
          </w:p>
          <w:p>
            <w:pPr>
              <w:pStyle w:val="TableContents"/>
              <w:bidi w:val="0"/>
              <w:spacing w:before="0" w:after="20"/>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4009" w:type="dxa"/>
            <w:tcBorders>
              <w:bottom w:val="single" w:sz="12" w:space="0" w:color="1070B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To motivate and reward executives for focusing on sustained long-term growth and financial success, aligned with stockholder value.</w:t>
            </w:r>
          </w:p>
          <w:p>
            <w:pPr>
              <w:pStyle w:val="TableContents"/>
              <w:bidi w:val="0"/>
              <w:spacing w:before="0" w:after="0"/>
              <w:jc w:val="left"/>
              <w:rPr/>
            </w:pPr>
            <w:r>
              <w:rPr/>
              <w:t> </w:t>
            </w:r>
          </w:p>
          <w:p>
            <w:pPr>
              <w:pStyle w:val="TableContents"/>
              <w:bidi w:val="0"/>
              <w:spacing w:before="0" w:after="0"/>
              <w:jc w:val="left"/>
              <w:rPr/>
            </w:pPr>
            <w:r>
              <w:rPr>
                <w:color w:val="1F295C"/>
              </w:rPr>
              <w:t>∎</w:t>
            </w:r>
            <w:r>
              <w:rPr/>
              <w:t>  </w:t>
            </w:r>
            <w:r>
              <w:rPr>
                <w:rFonts w:ascii="arial" w:hAnsi="arial"/>
                <w:sz w:val="20"/>
              </w:rPr>
              <w:t>Enhances retention of key talent.</w:t>
            </w:r>
          </w:p>
          <w:p>
            <w:pPr>
              <w:pStyle w:val="TableContents"/>
              <w:bidi w:val="0"/>
              <w:spacing w:before="0" w:after="0"/>
              <w:jc w:val="left"/>
              <w:rPr/>
            </w:pPr>
            <w:r>
              <w:rPr/>
              <w:t> </w:t>
            </w:r>
          </w:p>
          <w:p>
            <w:pPr>
              <w:pStyle w:val="TableContents"/>
              <w:bidi w:val="0"/>
              <w:spacing w:before="0" w:after="20"/>
              <w:jc w:val="left"/>
              <w:rPr/>
            </w:pPr>
            <w:r>
              <w:rPr>
                <w:color w:val="1F295C"/>
              </w:rPr>
              <w:t>∎</w:t>
            </w:r>
            <w:r>
              <w:rPr/>
              <w:t>  </w:t>
            </w:r>
            <w:r>
              <w:rPr>
                <w:rFonts w:ascii="arial" w:hAnsi="arial"/>
                <w:sz w:val="20"/>
              </w:rPr>
              <w:t>Aligns compensation with stockholder value.</w:t>
            </w:r>
          </w:p>
        </w:tc>
      </w:tr>
    </w:tbl>
    <w:p>
      <w:pPr>
        <w:pStyle w:val="TextBody"/>
        <w:bidi w:val="0"/>
        <w:spacing w:before="240" w:after="0"/>
        <w:jc w:val="left"/>
        <w:rPr>
          <w:rFonts w:ascii="arial" w:hAnsi="arial"/>
          <w:sz w:val="20"/>
        </w:rPr>
      </w:pPr>
      <w:r>
        <w:rPr>
          <w:rFonts w:ascii="arial" w:hAnsi="arial"/>
          <w:sz w:val="20"/>
        </w:rPr>
        <w:t xml:space="preserve">Our executive compensation program includes both fixed components (base salary and benefits) and variable components (short- and long-term incentive awards) that are directly tied to our financial and operational performance. The CHC Committee annually considers the mix of compensation and may make adjustments after giving consideration to evolving circumstances, the individuals involved and their responsibilities and performance. The CHC Committee believes this mix of components is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appropriate because it incentivizes our NEOs to focus on both short- and long-term success, aligns their interests with those of our stockholders and is consistent with peer group practices. The CHC Committee strives to achieve an appropriate balance among the elements of our compensation program but does not apply any set formula in allocating the components. We do not provide perquisites or other special benefits to our executive officers that are not generally available to our salaried employees, other than auto leases or allowances (including insurance) and cell phones. We provide no pension plans or other retirement benefits to our executive officers other than our 401(k) plan, which is available to all of our eligible employees, and our non-qualified deferred compensation plan, which allows our executive officers and other highly compensated employees to defer a portion of their eligible compensation above 401(k) plan limits. </w:t>
      </w:r>
    </w:p>
    <w:p>
      <w:pPr>
        <w:pStyle w:val="TextBody"/>
        <w:bidi w:val="0"/>
        <w:spacing w:before="240" w:after="0"/>
        <w:jc w:val="left"/>
        <w:rPr>
          <w:rFonts w:ascii="arial" w:hAnsi="arial"/>
          <w:color w:val="1070B8"/>
          <w:sz w:val="22"/>
        </w:rPr>
      </w:pPr>
      <w:bookmarkStart w:id="81" w:name="txc849638_19"/>
      <w:bookmarkEnd w:id="81"/>
      <w:r>
        <w:rPr>
          <w:rFonts w:ascii="arial" w:hAnsi="arial"/>
          <w:color w:val="1070B8"/>
          <w:sz w:val="22"/>
        </w:rPr>
        <w:t xml:space="preserve">Base Salary </w:t>
      </w:r>
    </w:p>
    <w:p>
      <w:pPr>
        <w:pStyle w:val="TextBody"/>
        <w:bidi w:val="0"/>
        <w:spacing w:before="240" w:after="0"/>
        <w:jc w:val="left"/>
        <w:rPr>
          <w:rFonts w:ascii="arial" w:hAnsi="arial"/>
          <w:sz w:val="20"/>
        </w:rPr>
      </w:pPr>
      <w:r>
        <w:rPr>
          <w:rFonts w:ascii="arial" w:hAnsi="arial"/>
          <w:sz w:val="20"/>
        </w:rPr>
        <w:t>We provide base salaries to our NEOs to compensate them for performing day-to-day responsibilities and to provide competitive fixed pay to balance at-risk compensation. Base salary is intended to provide a fundamental level of compensation so that our executives do not feel pressured to take unnecessary or excessive risks or to focus on the price of our common stock. The CHC Committee reviews base salaries annually, in the first quarter of each year, and takes into consideration comparative peer group data, the scope of the executive’s responsibilities, skills, tenure, experience, individual contribution, retention objectives, internal pay equity and overall mix and amount of compensation elements. Salary adjustments, if any, typically become effective on April 1 of each year. Our Chief Executive Officer’s employment agreement provides for a minimum annual base salary of $600,000 but does not provide for guaranteed salary increases. See “</w:t>
      </w:r>
      <w:r>
        <w:rPr>
          <w:rFonts w:ascii="arial" w:hAnsi="arial"/>
          <w:i/>
          <w:sz w:val="20"/>
        </w:rPr>
        <w:t>Employment Agreement with Jeffrey W. Edwards</w:t>
      </w:r>
      <w:r>
        <w:rPr>
          <w:rFonts w:ascii="arial" w:hAnsi="arial"/>
          <w:sz w:val="20"/>
        </w:rPr>
        <w:t xml:space="preserve">” below for more information. </w:t>
      </w:r>
    </w:p>
    <w:p>
      <w:pPr>
        <w:pStyle w:val="TextBody"/>
        <w:bidi w:val="0"/>
        <w:spacing w:before="240" w:after="0"/>
        <w:jc w:val="left"/>
        <w:rPr>
          <w:rFonts w:ascii="arial" w:hAnsi="arial"/>
          <w:color w:val="1070B8"/>
          <w:sz w:val="22"/>
        </w:rPr>
      </w:pPr>
      <w:bookmarkStart w:id="82" w:name="txc849638_20"/>
      <w:bookmarkEnd w:id="82"/>
      <w:r>
        <w:rPr>
          <w:rFonts w:ascii="arial" w:hAnsi="arial"/>
          <w:color w:val="1070B8"/>
          <w:sz w:val="22"/>
        </w:rPr>
        <w:t xml:space="preserve">Performance-Based Cash Incentives </w:t>
      </w:r>
    </w:p>
    <w:p>
      <w:pPr>
        <w:pStyle w:val="TextBody"/>
        <w:bidi w:val="0"/>
        <w:spacing w:before="240" w:after="0"/>
        <w:jc w:val="left"/>
        <w:rPr>
          <w:rFonts w:ascii="arial" w:hAnsi="arial"/>
          <w:sz w:val="20"/>
        </w:rPr>
      </w:pPr>
      <w:r>
        <w:rPr>
          <w:rFonts w:ascii="arial" w:hAnsi="arial"/>
          <w:sz w:val="20"/>
        </w:rPr>
        <w:t xml:space="preserve">We provide our NEOs with annual performance-based cash incentive opportunities, which are designed to reward achievement of short-term performance goals. Incentive award opportunities are tied to the achievement of an objective pre-determined performance metric that is directly related to our financial performance for the year. In February of each year, the CHC Committee, after considering the recommendations of management, sets an annual financial performance target for the year based primarily on the Board-approved budget for the year and establishes for each NEO a target cash bonus expressed as a fixed dollar amount. The cash bonus earned may be above or below target, based on the degree to which the performance metric is met. If the performance metric is achieved at a minimum of 50%, at least some portion of the cash award is earned. Awards are capped at 200% of target. The executive generally must remain employed through the end of the performance period to be eligible for any cash bonus. </w:t>
      </w:r>
    </w:p>
    <w:p>
      <w:pPr>
        <w:pStyle w:val="TextBody"/>
        <w:bidi w:val="0"/>
        <w:spacing w:before="240" w:after="0"/>
        <w:jc w:val="left"/>
        <w:rPr>
          <w:rFonts w:ascii="arial" w:hAnsi="arial"/>
          <w:sz w:val="20"/>
        </w:rPr>
      </w:pPr>
      <w:r>
        <w:rPr>
          <w:rFonts w:ascii="arial" w:hAnsi="arial"/>
          <w:sz w:val="20"/>
        </w:rPr>
        <w:t xml:space="preserve">In setting performance goals each year, the CHC Committee uses a one-year performance metric so that performance targets reflect current industry conditions, upon which the Company is heavily dependent. This approach takes into account that the Company operates in the residential and commercial construction industry, which is cyclical, seasonal and highly sensitive to macroeconomic and housing market factors over which our executives have no control, including interest rates; inflation; employment levels; housing demand; affordability; material prices; availability and pricing of mortgage financing; financial, political system and credit market stability; consumer confidence and other general economic conditions. </w:t>
      </w:r>
    </w:p>
    <w:p>
      <w:pPr>
        <w:pStyle w:val="TextBody"/>
        <w:bidi w:val="0"/>
        <w:spacing w:before="240" w:after="0"/>
        <w:jc w:val="left"/>
        <w:rPr>
          <w:rFonts w:ascii="arial" w:hAnsi="arial"/>
          <w:sz w:val="20"/>
        </w:rPr>
      </w:pPr>
      <w:r>
        <w:rPr>
          <w:rFonts w:ascii="arial" w:hAnsi="arial"/>
          <w:sz w:val="20"/>
        </w:rPr>
        <w:t>The CHC Committee currently uses Adjusted EBITDA as our performance metric because the committee believes that it serves as the best measure of the success of our growth strategies, provides an effective incentive to maximize operating profitability and aligns management awards with the financial interests of our stockholders. The CHC Committee believes Adjusted EBITDA is the most useful measure of profitability and operating performance as it measures changes in pricing decisions, cost controls and other factors that impact operating performance and removes the effect of our capital structure, asset base, items outside our control and volatility related to the timing and extent of activities such as asset impairments and non-core income and expenses. The annual performance target set by the CHC Committee is based on the budget approved by the Board and the annual and long-term business plan established at the beginning of each fiscal year and is intended to be challenging but fair. The budget and business plan are based upon certain assumptions and estimates of the housing and commercial markets, Company growth objectives and macroeconomic conditions. The performance target established by the CHC Committee in the first quarter is periodically adjusted throughout the year to account for the impact of completed acquisitions. The CHC Committee expects to continue to re-assess the performance metric selection and goal setting processes annually. See “</w:t>
      </w:r>
      <w:r>
        <w:rPr>
          <w:rFonts w:ascii="arial" w:hAnsi="arial"/>
          <w:i/>
          <w:sz w:val="20"/>
        </w:rPr>
        <w:t>Additional Information – Use of Non-GAAP Financial Measures</w:t>
      </w:r>
      <w:r>
        <w:rPr>
          <w:rFonts w:ascii="arial" w:hAnsi="arial"/>
          <w:sz w:val="20"/>
        </w:rPr>
        <w:t xml:space="preserve">” for a reconciliation of Adjusted EBITDA to the most directly comparable GAAP measure.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1070B8"/>
          <w:sz w:val="22"/>
        </w:rPr>
      </w:pPr>
      <w:bookmarkStart w:id="83" w:name="txc849638_21"/>
      <w:bookmarkEnd w:id="83"/>
      <w:r>
        <w:rPr>
          <w:rFonts w:ascii="arial" w:hAnsi="arial"/>
          <w:color w:val="1070B8"/>
          <w:sz w:val="22"/>
        </w:rPr>
        <w:t xml:space="preserve">Performance-Based Equity Incentives </w:t>
      </w:r>
    </w:p>
    <w:p>
      <w:pPr>
        <w:pStyle w:val="TextBody"/>
        <w:bidi w:val="0"/>
        <w:spacing w:before="240" w:after="0"/>
        <w:jc w:val="left"/>
        <w:rPr>
          <w:rFonts w:ascii="arial" w:hAnsi="arial"/>
          <w:sz w:val="20"/>
        </w:rPr>
      </w:pPr>
      <w:r>
        <w:rPr>
          <w:rFonts w:ascii="arial" w:hAnsi="arial"/>
          <w:sz w:val="20"/>
        </w:rPr>
        <w:t xml:space="preserve">A substantial component of our executive compensation program consists of rewards for long-term growth and enhancement of stockholder value through the use of performance-based incentive equity awards. The award represents an opportunity, with the ultimate realized value of the award determined by our stock performance over the long term. The CHC Committee believes that long-term incentive compensation is an effective way to retain a strong executive team and provide them with incentives to focus on the Company’s long-term success. </w:t>
      </w:r>
    </w:p>
    <w:p>
      <w:pPr>
        <w:pStyle w:val="TextBody"/>
        <w:bidi w:val="0"/>
        <w:spacing w:before="240" w:after="0"/>
        <w:jc w:val="left"/>
        <w:rPr>
          <w:rFonts w:ascii="arial" w:hAnsi="arial"/>
          <w:sz w:val="20"/>
        </w:rPr>
      </w:pPr>
      <w:r>
        <w:rPr>
          <w:rFonts w:ascii="arial" w:hAnsi="arial"/>
          <w:sz w:val="20"/>
        </w:rPr>
        <w:t>The CHC Committee grants target incentive awards of restricted stock to our NEOs that are performance-based over a one year performance period and which, if earned, vest over two years of continued service after the performance goal is met. The CHC Committee has determined to use a one-year performance metric of Adjusted EBITDA for the reasons outlined in “</w:t>
      </w:r>
      <w:r>
        <w:rPr>
          <w:rFonts w:ascii="arial" w:hAnsi="arial"/>
          <w:i/>
          <w:sz w:val="20"/>
        </w:rPr>
        <w:t>Performance-Based Cash Incentives</w:t>
      </w:r>
      <w:r>
        <w:rPr>
          <w:rFonts w:ascii="arial" w:hAnsi="arial"/>
          <w:sz w:val="20"/>
        </w:rPr>
        <w:t xml:space="preserve">” above. In order to achieve a balance between the advisability of setting an annual performance metric and our desire to align the interests of our NEOs with the long-term interests of our stockholders, the CHC Committee added the time-vesting component to the performance-based awards. Performance-based restricted stock target awards are based on a fixed number of shares, rather than a dollar amount, so that the value of the executive’s award fluctuates with the price of our common stock during the performance period, the vesting period and thereafter. Performance-based restricted stock awards actually earned may be above or below the target award, based on the degree to which the performance metric is met. If the performance metric is achieved at a minimum of 50%, at least a portion of the restricted stock is earned and vests in equal installments over the next two years, generally subject to the NEO’s continued employment on the applicable vesting date. Awards are capped at 200% of target. </w:t>
      </w:r>
    </w:p>
    <w:p>
      <w:pPr>
        <w:pStyle w:val="TextBody"/>
        <w:bidi w:val="0"/>
        <w:spacing w:before="240" w:after="0"/>
        <w:jc w:val="left"/>
        <w:rPr>
          <w:rFonts w:ascii="arial" w:hAnsi="arial"/>
          <w:sz w:val="20"/>
        </w:rPr>
      </w:pPr>
      <w:r>
        <w:rPr>
          <w:rFonts w:ascii="arial" w:hAnsi="arial"/>
          <w:sz w:val="20"/>
        </w:rPr>
        <w:t xml:space="preserve">The CHC Committee believes that the additional two-year vesting period serves as a valuable retention incentive for our NEOs, whose skills and experience are sought after within the industry. The committee also believes that granting long-term restricted stock awards aligns the executive officers’ interests directly with those of our stockholders, as the executive officers will realize greater or lesser value based on our stock price during the performance and vesting period, which will parallel that of our stockholders over the same period. The CHC Committee further believes the restricted stock awards focus our NEOs on our long-term performance and discourages excessive risk-taking in the short-term. </w:t>
      </w:r>
    </w:p>
    <w:p>
      <w:pPr>
        <w:pStyle w:val="TextBody"/>
        <w:bidi w:val="0"/>
        <w:spacing w:before="240" w:after="0"/>
        <w:jc w:val="left"/>
        <w:rPr>
          <w:rFonts w:ascii="arial" w:hAnsi="arial"/>
          <w:b/>
          <w:color w:val="1F295C"/>
          <w:sz w:val="24"/>
        </w:rPr>
      </w:pPr>
      <w:bookmarkStart w:id="84" w:name="toc849638_61d"/>
      <w:bookmarkEnd w:id="84"/>
      <w:r>
        <w:rPr>
          <w:rFonts w:ascii="arial" w:hAnsi="arial"/>
          <w:b/>
          <w:color w:val="1F295C"/>
          <w:sz w:val="24"/>
        </w:rPr>
        <w:t xml:space="preserve">Section 4 – What We Paid in 2024 </w:t>
      </w:r>
    </w:p>
    <w:p>
      <w:pPr>
        <w:pStyle w:val="TextBody"/>
        <w:bidi w:val="0"/>
        <w:spacing w:before="240" w:after="0"/>
        <w:jc w:val="left"/>
        <w:rPr>
          <w:rFonts w:ascii="arial" w:hAnsi="arial"/>
          <w:color w:val="1070B8"/>
          <w:sz w:val="22"/>
        </w:rPr>
      </w:pPr>
      <w:bookmarkStart w:id="85" w:name="txc849638_22"/>
      <w:bookmarkEnd w:id="85"/>
      <w:r>
        <w:rPr>
          <w:rFonts w:ascii="arial" w:hAnsi="arial"/>
          <w:color w:val="1070B8"/>
          <w:sz w:val="22"/>
        </w:rPr>
        <w:t xml:space="preserve">2024 Base Salary </w:t>
      </w:r>
    </w:p>
    <w:p>
      <w:pPr>
        <w:pStyle w:val="TextBody"/>
        <w:bidi w:val="0"/>
        <w:spacing w:before="240" w:after="0"/>
        <w:jc w:val="left"/>
        <w:rPr>
          <w:rFonts w:ascii="arial" w:hAnsi="arial"/>
          <w:sz w:val="20"/>
        </w:rPr>
      </w:pPr>
      <w:r>
        <w:rPr>
          <w:rFonts w:ascii="arial" w:hAnsi="arial"/>
          <w:sz w:val="20"/>
        </w:rPr>
        <w:t>The table below sets forth the base salaries for our NEOs as of December 31, 2024</w:t>
      </w:r>
      <w:r>
        <w:rPr>
          <w:rFonts w:ascii="arial" w:hAnsi="arial"/>
          <w:b/>
          <w:sz w:val="20"/>
        </w:rPr>
        <w:t xml:space="preserve">. </w:t>
      </w:r>
    </w:p>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1895"/>
        <w:gridCol w:w="240"/>
        <w:gridCol w:w="60"/>
        <w:gridCol w:w="60"/>
        <w:gridCol w:w="805"/>
        <w:gridCol w:w="25"/>
        <w:gridCol w:w="240"/>
        <w:gridCol w:w="60"/>
        <w:gridCol w:w="60"/>
        <w:gridCol w:w="805"/>
        <w:gridCol w:w="25"/>
        <w:gridCol w:w="240"/>
        <w:gridCol w:w="245"/>
        <w:gridCol w:w="245"/>
        <w:gridCol w:w="1309"/>
        <w:gridCol w:w="96"/>
        <w:gridCol w:w="240"/>
        <w:gridCol w:w="154"/>
        <w:gridCol w:w="154"/>
        <w:gridCol w:w="1130"/>
        <w:gridCol w:w="592"/>
      </w:tblGrid>
      <w:tr>
        <w:trPr/>
        <w:tc>
          <w:tcPr>
            <w:tcW w:w="18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950" w:type="dxa"/>
            <w:gridSpan w:val="4"/>
            <w:tcBorders>
              <w:bottom w:val="single" w:sz="12" w:space="0" w:color="1070B8"/>
            </w:tcBorders>
            <w:tcMar>
              <w:bottom w:w="40" w:type="dxa"/>
            </w:tcMar>
            <w:vAlign w:val="center"/>
          </w:tcPr>
          <w:p>
            <w:pPr>
              <w:pStyle w:val="TableContents"/>
              <w:bidi w:val="0"/>
              <w:spacing w:before="0" w:after="0"/>
              <w:jc w:val="center"/>
              <w:rPr>
                <w:rFonts w:ascii="arial" w:hAnsi="arial"/>
                <w:b/>
                <w:color w:val="1F295C"/>
                <w:sz w:val="20"/>
              </w:rPr>
            </w:pPr>
            <w:r>
              <w:rPr>
                <w:rFonts w:ascii="arial" w:hAnsi="arial"/>
                <w:b/>
                <w:color w:val="1F295C"/>
                <w:sz w:val="20"/>
              </w:rPr>
              <w:t>2023 Base</w:t>
              <w:br/>
              <w:t>Salary</w:t>
            </w:r>
          </w:p>
          <w:p>
            <w:pPr>
              <w:pStyle w:val="TableContents"/>
              <w:bidi w:val="0"/>
              <w:spacing w:before="0" w:after="20"/>
              <w:jc w:val="center"/>
              <w:rPr>
                <w:rFonts w:ascii="arial" w:hAnsi="arial"/>
                <w:b/>
                <w:color w:val="1F295C"/>
                <w:sz w:val="20"/>
              </w:rPr>
            </w:pPr>
            <w:r>
              <w:rPr>
                <w:rFonts w:ascii="arial" w:hAnsi="arial"/>
                <w:b/>
                <w:color w:val="1F295C"/>
                <w:sz w:val="20"/>
              </w:rPr>
              <w:t>($)</w:t>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950" w:type="dxa"/>
            <w:gridSpan w:val="4"/>
            <w:tcBorders>
              <w:bottom w:val="single" w:sz="12" w:space="0" w:color="1070B8"/>
            </w:tcBorders>
            <w:tcMar>
              <w:bottom w:w="40" w:type="dxa"/>
            </w:tcMar>
            <w:vAlign w:val="center"/>
          </w:tcPr>
          <w:p>
            <w:pPr>
              <w:pStyle w:val="TableContents"/>
              <w:bidi w:val="0"/>
              <w:spacing w:before="0" w:after="0"/>
              <w:jc w:val="center"/>
              <w:rPr>
                <w:rFonts w:ascii="arial" w:hAnsi="arial"/>
                <w:b/>
                <w:color w:val="1F295C"/>
                <w:sz w:val="20"/>
              </w:rPr>
            </w:pPr>
            <w:r>
              <w:rPr>
                <w:rFonts w:ascii="arial" w:hAnsi="arial"/>
                <w:b/>
                <w:color w:val="1F295C"/>
                <w:sz w:val="20"/>
              </w:rPr>
              <w:t>2024 Base</w:t>
              <w:br/>
              <w:t>Salary</w:t>
            </w:r>
          </w:p>
          <w:p>
            <w:pPr>
              <w:pStyle w:val="TableContents"/>
              <w:bidi w:val="0"/>
              <w:spacing w:before="0" w:after="20"/>
              <w:jc w:val="center"/>
              <w:rPr>
                <w:rFonts w:ascii="arial" w:hAnsi="arial"/>
                <w:b/>
                <w:color w:val="1F295C"/>
                <w:sz w:val="20"/>
              </w:rPr>
            </w:pPr>
            <w:r>
              <w:rPr>
                <w:rFonts w:ascii="arial" w:hAnsi="arial"/>
                <w:b/>
                <w:color w:val="1F295C"/>
                <w:sz w:val="20"/>
              </w:rPr>
              <w:t>($)</w:t>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1895" w:type="dxa"/>
            <w:gridSpan w:val="4"/>
            <w:tcBorders>
              <w:bottom w:val="single" w:sz="12" w:space="0" w:color="1070B8"/>
            </w:tcBorders>
            <w:tcMar>
              <w:bottom w:w="40" w:type="dxa"/>
            </w:tcMar>
            <w:vAlign w:val="center"/>
          </w:tcPr>
          <w:p>
            <w:pPr>
              <w:pStyle w:val="TableContents"/>
              <w:bidi w:val="0"/>
              <w:spacing w:before="0" w:after="0"/>
              <w:jc w:val="center"/>
              <w:rPr>
                <w:rFonts w:ascii="arial" w:hAnsi="arial"/>
                <w:b/>
                <w:color w:val="1F295C"/>
                <w:sz w:val="20"/>
              </w:rPr>
            </w:pPr>
            <w:r>
              <w:rPr>
                <w:rFonts w:ascii="arial" w:hAnsi="arial"/>
                <w:b/>
                <w:color w:val="1F295C"/>
                <w:sz w:val="20"/>
              </w:rPr>
              <w:t>Percentage Increase</w:t>
              <w:br/>
              <w:t>in Base Salary</w:t>
            </w:r>
          </w:p>
          <w:p>
            <w:pPr>
              <w:pStyle w:val="TableContents"/>
              <w:bidi w:val="0"/>
              <w:spacing w:before="0" w:after="20"/>
              <w:jc w:val="center"/>
              <w:rPr>
                <w:rFonts w:ascii="arial" w:hAnsi="arial"/>
                <w:b/>
                <w:color w:val="1F295C"/>
                <w:sz w:val="20"/>
              </w:rPr>
            </w:pPr>
            <w:r>
              <w:rPr>
                <w:rFonts w:ascii="arial" w:hAnsi="arial"/>
                <w:b/>
                <w:color w:val="1F295C"/>
                <w:sz w:val="20"/>
              </w:rPr>
              <w:t>(%)</w:t>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2030" w:type="dxa"/>
            <w:gridSpan w:val="4"/>
            <w:tcBorders>
              <w:bottom w:val="single" w:sz="12" w:space="0" w:color="1070B8"/>
            </w:tcBorders>
            <w:tcMar>
              <w:bottom w:w="40" w:type="dxa"/>
            </w:tcMar>
            <w:vAlign w:val="center"/>
          </w:tcPr>
          <w:p>
            <w:pPr>
              <w:pStyle w:val="TableContents"/>
              <w:bidi w:val="0"/>
              <w:spacing w:before="0" w:after="0"/>
              <w:jc w:val="center"/>
              <w:rPr>
                <w:rFonts w:ascii="arial" w:hAnsi="arial"/>
                <w:b/>
                <w:color w:val="1F295C"/>
                <w:sz w:val="20"/>
              </w:rPr>
            </w:pPr>
            <w:r>
              <w:rPr>
                <w:rFonts w:ascii="arial" w:hAnsi="arial"/>
                <w:b/>
                <w:color w:val="1F295C"/>
                <w:sz w:val="20"/>
              </w:rPr>
              <w:t>2024 Base Salary as</w:t>
              <w:br/>
              <w:t>Percentage of Earned</w:t>
              <w:br/>
              <w:t>Total Compensation</w:t>
            </w:r>
          </w:p>
          <w:p>
            <w:pPr>
              <w:pStyle w:val="TableContents"/>
              <w:bidi w:val="0"/>
              <w:spacing w:before="0" w:after="20"/>
              <w:jc w:val="center"/>
              <w:rPr>
                <w:rFonts w:ascii="arial" w:hAnsi="arial"/>
                <w:b/>
                <w:color w:val="1F295C"/>
                <w:sz w:val="20"/>
              </w:rPr>
            </w:pPr>
            <w:r>
              <w:rPr>
                <w:rFonts w:ascii="arial" w:hAnsi="arial"/>
                <w:b/>
                <w:color w:val="1F295C"/>
                <w:sz w:val="20"/>
              </w:rPr>
              <w:t>(%)</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c>
          <w:tcPr>
            <w:tcW w:w="2135" w:type="dxa"/>
            <w:gridSpan w:val="5"/>
            <w:tcBorders/>
            <w:vAlign w:val="center"/>
          </w:tcPr>
          <w:p>
            <w:pPr>
              <w:pStyle w:val="TableContents"/>
              <w:bidi w:val="0"/>
              <w:spacing w:before="0" w:after="283"/>
              <w:jc w:val="left"/>
              <w:rPr>
                <w:sz w:val="4"/>
                <w:szCs w:val="4"/>
              </w:rPr>
            </w:pPr>
            <w:r>
              <w:rPr>
                <w:sz w:val="4"/>
                <w:szCs w:val="4"/>
              </w:rPr>
            </w:r>
          </w:p>
        </w:tc>
        <w:tc>
          <w:tcPr>
            <w:tcW w:w="2270"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40" w:type="dxa"/>
            </w:tcMar>
            <w:vAlign w:val="center"/>
          </w:tcPr>
          <w:p>
            <w:pPr>
              <w:pStyle w:val="TableContents"/>
              <w:bidi w:val="0"/>
              <w:spacing w:before="0" w:after="0"/>
              <w:jc w:val="left"/>
              <w:rPr/>
            </w:pPr>
            <w:r>
              <w:rPr/>
              <w:t> </w:t>
            </w:r>
            <w:r>
              <w:rPr>
                <w:rFonts w:ascii="arial" w:hAnsi="arial"/>
                <w:sz w:val="20"/>
              </w:rPr>
              <w:t>Jeffrey W. Edwards</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805" w:type="dxa"/>
            <w:tcBorders>
              <w:bottom w:val="single" w:sz="6" w:space="0" w:color="000000"/>
            </w:tcBorders>
            <w:tcMar>
              <w:bottom w:w="40" w:type="dxa"/>
            </w:tcMar>
            <w:vAlign w:val="center"/>
          </w:tcPr>
          <w:p>
            <w:pPr>
              <w:pStyle w:val="TableContents"/>
              <w:bidi w:val="0"/>
              <w:spacing w:before="0" w:after="283"/>
              <w:jc w:val="right"/>
              <w:rPr/>
            </w:pPr>
            <w:r>
              <w:rPr/>
              <w:t>840,000</w:t>
            </w:r>
          </w:p>
        </w:tc>
        <w:tc>
          <w:tcPr>
            <w:tcW w:w="25"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805" w:type="dxa"/>
            <w:tcBorders>
              <w:bottom w:val="single" w:sz="6" w:space="0" w:color="000000"/>
            </w:tcBorders>
            <w:tcMar>
              <w:bottom w:w="40" w:type="dxa"/>
            </w:tcMar>
            <w:vAlign w:val="center"/>
          </w:tcPr>
          <w:p>
            <w:pPr>
              <w:pStyle w:val="TableContents"/>
              <w:bidi w:val="0"/>
              <w:spacing w:before="0" w:after="283"/>
              <w:jc w:val="right"/>
              <w:rPr/>
            </w:pPr>
            <w:r>
              <w:rPr/>
              <w:t>900,000</w:t>
            </w:r>
          </w:p>
        </w:tc>
        <w:tc>
          <w:tcPr>
            <w:tcW w:w="25"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245" w:type="dxa"/>
            <w:tcBorders>
              <w:bottom w:val="single" w:sz="6" w:space="0" w:color="000000"/>
            </w:tcBorders>
            <w:tcMar>
              <w:bottom w:w="40" w:type="dxa"/>
            </w:tcMar>
            <w:vAlign w:val="center"/>
          </w:tcPr>
          <w:p>
            <w:pPr>
              <w:pStyle w:val="TableContents"/>
              <w:bidi w:val="0"/>
              <w:spacing w:before="0" w:after="283"/>
              <w:jc w:val="left"/>
              <w:rPr/>
            </w:pPr>
            <w:r>
              <w:rPr/>
              <w:t> </w:t>
            </w:r>
          </w:p>
        </w:tc>
        <w:tc>
          <w:tcPr>
            <w:tcW w:w="1309" w:type="dxa"/>
            <w:tcBorders>
              <w:bottom w:val="single" w:sz="6" w:space="0" w:color="000000"/>
            </w:tcBorders>
            <w:tcMar>
              <w:bottom w:w="40" w:type="dxa"/>
            </w:tcMar>
            <w:vAlign w:val="center"/>
          </w:tcPr>
          <w:p>
            <w:pPr>
              <w:pStyle w:val="TableContents"/>
              <w:bidi w:val="0"/>
              <w:spacing w:before="0" w:after="283"/>
              <w:jc w:val="right"/>
              <w:rPr/>
            </w:pPr>
            <w:r>
              <w:rPr/>
              <w:t>7.1</w:t>
            </w:r>
          </w:p>
        </w:tc>
        <w:tc>
          <w:tcPr>
            <w:tcW w:w="96"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54" w:type="dxa"/>
            <w:tcBorders>
              <w:bottom w:val="single" w:sz="6" w:space="0" w:color="000000"/>
            </w:tcBorders>
            <w:tcMar>
              <w:bottom w:w="28" w:type="dxa"/>
            </w:tcMar>
            <w:vAlign w:val="center"/>
          </w:tcPr>
          <w:p>
            <w:pPr>
              <w:pStyle w:val="TableContents"/>
              <w:bidi w:val="0"/>
              <w:spacing w:before="0" w:after="283"/>
              <w:jc w:val="left"/>
              <w:rPr/>
            </w:pPr>
            <w:r>
              <w:rPr/>
              <w:t> </w:t>
            </w:r>
          </w:p>
        </w:tc>
        <w:tc>
          <w:tcPr>
            <w:tcW w:w="154" w:type="dxa"/>
            <w:tcBorders>
              <w:bottom w:val="single" w:sz="6" w:space="0" w:color="000000"/>
            </w:tcBorders>
            <w:tcMar>
              <w:bottom w:w="40" w:type="dxa"/>
            </w:tcMar>
            <w:vAlign w:val="center"/>
          </w:tcPr>
          <w:p>
            <w:pPr>
              <w:pStyle w:val="TableContents"/>
              <w:bidi w:val="0"/>
              <w:spacing w:before="0" w:after="283"/>
              <w:jc w:val="left"/>
              <w:rPr/>
            </w:pPr>
            <w:r>
              <w:rPr/>
              <w:t> </w:t>
            </w:r>
          </w:p>
        </w:tc>
        <w:tc>
          <w:tcPr>
            <w:tcW w:w="1130" w:type="dxa"/>
            <w:tcBorders>
              <w:bottom w:val="single" w:sz="6" w:space="0" w:color="000000"/>
            </w:tcBorders>
            <w:tcMar>
              <w:bottom w:w="40" w:type="dxa"/>
            </w:tcMar>
            <w:vAlign w:val="center"/>
          </w:tcPr>
          <w:p>
            <w:pPr>
              <w:pStyle w:val="TableContents"/>
              <w:bidi w:val="0"/>
              <w:spacing w:before="0" w:after="283"/>
              <w:jc w:val="right"/>
              <w:rPr/>
            </w:pPr>
            <w:r>
              <w:rPr/>
              <w:t>16.9</w:t>
            </w:r>
          </w:p>
        </w:tc>
        <w:tc>
          <w:tcPr>
            <w:tcW w:w="592" w:type="dxa"/>
            <w:tcBorders>
              <w:bottom w:val="single" w:sz="6" w:space="0" w:color="000000"/>
            </w:tcBorders>
            <w:tcMar>
              <w:bottom w:w="40" w:type="dxa"/>
            </w:tcMar>
            <w:vAlign w:val="center"/>
          </w:tcPr>
          <w:p>
            <w:pPr>
              <w:pStyle w:val="TableContents"/>
              <w:bidi w:val="0"/>
              <w:spacing w:before="0" w:after="283"/>
              <w:jc w:val="left"/>
              <w:rPr/>
            </w:pPr>
            <w:r>
              <w:rPr/>
              <w:t>%</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c>
          <w:tcPr>
            <w:tcW w:w="2135" w:type="dxa"/>
            <w:gridSpan w:val="5"/>
            <w:tcBorders/>
            <w:vAlign w:val="center"/>
          </w:tcPr>
          <w:p>
            <w:pPr>
              <w:pStyle w:val="TableContents"/>
              <w:bidi w:val="0"/>
              <w:spacing w:before="0" w:after="283"/>
              <w:jc w:val="left"/>
              <w:rPr>
                <w:sz w:val="4"/>
                <w:szCs w:val="4"/>
              </w:rPr>
            </w:pPr>
            <w:r>
              <w:rPr>
                <w:sz w:val="4"/>
                <w:szCs w:val="4"/>
              </w:rPr>
            </w:r>
          </w:p>
        </w:tc>
        <w:tc>
          <w:tcPr>
            <w:tcW w:w="2270"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40" w:type="dxa"/>
            </w:tcMar>
            <w:vAlign w:val="center"/>
          </w:tcPr>
          <w:p>
            <w:pPr>
              <w:pStyle w:val="TableContents"/>
              <w:bidi w:val="0"/>
              <w:spacing w:before="0" w:after="0"/>
              <w:jc w:val="left"/>
              <w:rPr/>
            </w:pPr>
            <w:r>
              <w:rPr/>
              <w:t> </w:t>
            </w:r>
            <w:r>
              <w:rPr>
                <w:rFonts w:ascii="arial" w:hAnsi="arial"/>
                <w:sz w:val="20"/>
              </w:rPr>
              <w:t>Michael T. Miller</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805" w:type="dxa"/>
            <w:tcBorders>
              <w:bottom w:val="single" w:sz="6" w:space="0" w:color="000000"/>
            </w:tcBorders>
            <w:tcMar>
              <w:bottom w:w="40" w:type="dxa"/>
            </w:tcMar>
            <w:vAlign w:val="center"/>
          </w:tcPr>
          <w:p>
            <w:pPr>
              <w:pStyle w:val="TableContents"/>
              <w:bidi w:val="0"/>
              <w:spacing w:before="0" w:after="283"/>
              <w:jc w:val="right"/>
              <w:rPr/>
            </w:pPr>
            <w:r>
              <w:rPr/>
              <w:t>445,000</w:t>
            </w:r>
          </w:p>
        </w:tc>
        <w:tc>
          <w:tcPr>
            <w:tcW w:w="25"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805" w:type="dxa"/>
            <w:tcBorders>
              <w:bottom w:val="single" w:sz="6" w:space="0" w:color="000000"/>
            </w:tcBorders>
            <w:tcMar>
              <w:bottom w:w="40" w:type="dxa"/>
            </w:tcMar>
            <w:vAlign w:val="center"/>
          </w:tcPr>
          <w:p>
            <w:pPr>
              <w:pStyle w:val="TableContents"/>
              <w:bidi w:val="0"/>
              <w:spacing w:before="0" w:after="283"/>
              <w:jc w:val="right"/>
              <w:rPr/>
            </w:pPr>
            <w:r>
              <w:rPr/>
              <w:t>475,000</w:t>
            </w:r>
          </w:p>
        </w:tc>
        <w:tc>
          <w:tcPr>
            <w:tcW w:w="25"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245" w:type="dxa"/>
            <w:tcBorders>
              <w:bottom w:val="single" w:sz="6" w:space="0" w:color="000000"/>
            </w:tcBorders>
            <w:tcMar>
              <w:bottom w:w="40" w:type="dxa"/>
            </w:tcMar>
            <w:vAlign w:val="center"/>
          </w:tcPr>
          <w:p>
            <w:pPr>
              <w:pStyle w:val="TableContents"/>
              <w:bidi w:val="0"/>
              <w:spacing w:before="0" w:after="283"/>
              <w:jc w:val="left"/>
              <w:rPr/>
            </w:pPr>
            <w:r>
              <w:rPr/>
              <w:t> </w:t>
            </w:r>
          </w:p>
        </w:tc>
        <w:tc>
          <w:tcPr>
            <w:tcW w:w="1309" w:type="dxa"/>
            <w:tcBorders>
              <w:bottom w:val="single" w:sz="6" w:space="0" w:color="000000"/>
            </w:tcBorders>
            <w:tcMar>
              <w:bottom w:w="40" w:type="dxa"/>
            </w:tcMar>
            <w:vAlign w:val="center"/>
          </w:tcPr>
          <w:p>
            <w:pPr>
              <w:pStyle w:val="TableContents"/>
              <w:bidi w:val="0"/>
              <w:spacing w:before="0" w:after="283"/>
              <w:jc w:val="right"/>
              <w:rPr/>
            </w:pPr>
            <w:r>
              <w:rPr/>
              <w:t>6.7</w:t>
            </w:r>
          </w:p>
        </w:tc>
        <w:tc>
          <w:tcPr>
            <w:tcW w:w="96"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54" w:type="dxa"/>
            <w:tcBorders>
              <w:bottom w:val="single" w:sz="6" w:space="0" w:color="000000"/>
            </w:tcBorders>
            <w:tcMar>
              <w:bottom w:w="28" w:type="dxa"/>
            </w:tcMar>
            <w:vAlign w:val="center"/>
          </w:tcPr>
          <w:p>
            <w:pPr>
              <w:pStyle w:val="TableContents"/>
              <w:bidi w:val="0"/>
              <w:spacing w:before="0" w:after="283"/>
              <w:jc w:val="left"/>
              <w:rPr/>
            </w:pPr>
            <w:r>
              <w:rPr/>
              <w:t> </w:t>
            </w:r>
          </w:p>
        </w:tc>
        <w:tc>
          <w:tcPr>
            <w:tcW w:w="154" w:type="dxa"/>
            <w:tcBorders>
              <w:bottom w:val="single" w:sz="6" w:space="0" w:color="000000"/>
            </w:tcBorders>
            <w:tcMar>
              <w:bottom w:w="40" w:type="dxa"/>
            </w:tcMar>
            <w:vAlign w:val="center"/>
          </w:tcPr>
          <w:p>
            <w:pPr>
              <w:pStyle w:val="TableContents"/>
              <w:bidi w:val="0"/>
              <w:spacing w:before="0" w:after="283"/>
              <w:jc w:val="left"/>
              <w:rPr/>
            </w:pPr>
            <w:r>
              <w:rPr/>
              <w:t> </w:t>
            </w:r>
          </w:p>
        </w:tc>
        <w:tc>
          <w:tcPr>
            <w:tcW w:w="1130" w:type="dxa"/>
            <w:tcBorders>
              <w:bottom w:val="single" w:sz="6" w:space="0" w:color="000000"/>
            </w:tcBorders>
            <w:tcMar>
              <w:bottom w:w="40" w:type="dxa"/>
            </w:tcMar>
            <w:vAlign w:val="center"/>
          </w:tcPr>
          <w:p>
            <w:pPr>
              <w:pStyle w:val="TableContents"/>
              <w:bidi w:val="0"/>
              <w:spacing w:before="0" w:after="283"/>
              <w:jc w:val="right"/>
              <w:rPr/>
            </w:pPr>
            <w:r>
              <w:rPr/>
              <w:t>24.7</w:t>
            </w:r>
          </w:p>
        </w:tc>
        <w:tc>
          <w:tcPr>
            <w:tcW w:w="592" w:type="dxa"/>
            <w:tcBorders>
              <w:bottom w:val="single" w:sz="6" w:space="0" w:color="000000"/>
            </w:tcBorders>
            <w:tcMar>
              <w:bottom w:w="40" w:type="dxa"/>
            </w:tcMar>
            <w:vAlign w:val="center"/>
          </w:tcPr>
          <w:p>
            <w:pPr>
              <w:pStyle w:val="TableContents"/>
              <w:bidi w:val="0"/>
              <w:spacing w:before="0" w:after="283"/>
              <w:jc w:val="left"/>
              <w:rPr/>
            </w:pPr>
            <w:r>
              <w:rPr/>
              <w:t>%</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c>
          <w:tcPr>
            <w:tcW w:w="2135" w:type="dxa"/>
            <w:gridSpan w:val="5"/>
            <w:tcBorders/>
            <w:vAlign w:val="center"/>
          </w:tcPr>
          <w:p>
            <w:pPr>
              <w:pStyle w:val="TableContents"/>
              <w:bidi w:val="0"/>
              <w:spacing w:before="0" w:after="283"/>
              <w:jc w:val="left"/>
              <w:rPr>
                <w:sz w:val="4"/>
                <w:szCs w:val="4"/>
              </w:rPr>
            </w:pPr>
            <w:r>
              <w:rPr>
                <w:sz w:val="4"/>
                <w:szCs w:val="4"/>
              </w:rPr>
            </w:r>
          </w:p>
        </w:tc>
        <w:tc>
          <w:tcPr>
            <w:tcW w:w="2270"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40" w:type="dxa"/>
            </w:tcMar>
            <w:vAlign w:val="center"/>
          </w:tcPr>
          <w:p>
            <w:pPr>
              <w:pStyle w:val="TableContents"/>
              <w:bidi w:val="0"/>
              <w:spacing w:before="0" w:after="0"/>
              <w:jc w:val="left"/>
              <w:rPr/>
            </w:pPr>
            <w:r>
              <w:rPr/>
              <w:t> </w:t>
            </w:r>
            <w:r>
              <w:rPr>
                <w:rFonts w:ascii="arial" w:hAnsi="arial"/>
                <w:sz w:val="20"/>
              </w:rPr>
              <w:t>Brad A. Wheeler</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805" w:type="dxa"/>
            <w:tcBorders>
              <w:bottom w:val="single" w:sz="6" w:space="0" w:color="000000"/>
            </w:tcBorders>
            <w:tcMar>
              <w:bottom w:w="40" w:type="dxa"/>
            </w:tcMar>
            <w:vAlign w:val="center"/>
          </w:tcPr>
          <w:p>
            <w:pPr>
              <w:pStyle w:val="TableContents"/>
              <w:bidi w:val="0"/>
              <w:spacing w:before="0" w:after="283"/>
              <w:jc w:val="right"/>
              <w:rPr/>
            </w:pPr>
            <w:r>
              <w:rPr/>
              <w:t>-</w:t>
            </w:r>
          </w:p>
        </w:tc>
        <w:tc>
          <w:tcPr>
            <w:tcW w:w="25"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805" w:type="dxa"/>
            <w:tcBorders>
              <w:bottom w:val="single" w:sz="6" w:space="0" w:color="000000"/>
            </w:tcBorders>
            <w:tcMar>
              <w:bottom w:w="40" w:type="dxa"/>
            </w:tcMar>
            <w:vAlign w:val="center"/>
          </w:tcPr>
          <w:p>
            <w:pPr>
              <w:pStyle w:val="TableContents"/>
              <w:bidi w:val="0"/>
              <w:spacing w:before="0" w:after="283"/>
              <w:jc w:val="right"/>
              <w:rPr/>
            </w:pPr>
            <w:r>
              <w:rPr/>
              <w:t>485,000</w:t>
            </w:r>
          </w:p>
        </w:tc>
        <w:tc>
          <w:tcPr>
            <w:tcW w:w="25"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245" w:type="dxa"/>
            <w:tcBorders>
              <w:bottom w:val="single" w:sz="6" w:space="0" w:color="000000"/>
            </w:tcBorders>
            <w:tcMar>
              <w:bottom w:w="40" w:type="dxa"/>
            </w:tcMar>
            <w:vAlign w:val="center"/>
          </w:tcPr>
          <w:p>
            <w:pPr>
              <w:pStyle w:val="TableContents"/>
              <w:bidi w:val="0"/>
              <w:spacing w:before="0" w:after="283"/>
              <w:jc w:val="left"/>
              <w:rPr/>
            </w:pPr>
            <w:r>
              <w:rPr/>
              <w:t> </w:t>
            </w:r>
          </w:p>
        </w:tc>
        <w:tc>
          <w:tcPr>
            <w:tcW w:w="1309" w:type="dxa"/>
            <w:tcBorders>
              <w:bottom w:val="single" w:sz="6" w:space="0" w:color="000000"/>
            </w:tcBorders>
            <w:tcMar>
              <w:bottom w:w="40" w:type="dxa"/>
            </w:tcMar>
            <w:vAlign w:val="center"/>
          </w:tcPr>
          <w:p>
            <w:pPr>
              <w:pStyle w:val="TableContents"/>
              <w:bidi w:val="0"/>
              <w:spacing w:before="0" w:after="283"/>
              <w:jc w:val="right"/>
              <w:rPr/>
            </w:pPr>
            <w:r>
              <w:rPr/>
              <w:t>-</w:t>
            </w:r>
          </w:p>
        </w:tc>
        <w:tc>
          <w:tcPr>
            <w:tcW w:w="96"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54" w:type="dxa"/>
            <w:tcBorders>
              <w:bottom w:val="single" w:sz="6" w:space="0" w:color="000000"/>
            </w:tcBorders>
            <w:tcMar>
              <w:bottom w:w="28" w:type="dxa"/>
            </w:tcMar>
            <w:vAlign w:val="center"/>
          </w:tcPr>
          <w:p>
            <w:pPr>
              <w:pStyle w:val="TableContents"/>
              <w:bidi w:val="0"/>
              <w:spacing w:before="0" w:after="283"/>
              <w:jc w:val="left"/>
              <w:rPr/>
            </w:pPr>
            <w:r>
              <w:rPr/>
              <w:t> </w:t>
            </w:r>
          </w:p>
        </w:tc>
        <w:tc>
          <w:tcPr>
            <w:tcW w:w="154" w:type="dxa"/>
            <w:tcBorders>
              <w:bottom w:val="single" w:sz="6" w:space="0" w:color="000000"/>
            </w:tcBorders>
            <w:tcMar>
              <w:bottom w:w="40" w:type="dxa"/>
            </w:tcMar>
            <w:vAlign w:val="center"/>
          </w:tcPr>
          <w:p>
            <w:pPr>
              <w:pStyle w:val="TableContents"/>
              <w:bidi w:val="0"/>
              <w:spacing w:before="0" w:after="283"/>
              <w:jc w:val="left"/>
              <w:rPr/>
            </w:pPr>
            <w:r>
              <w:rPr/>
              <w:t> </w:t>
            </w:r>
          </w:p>
        </w:tc>
        <w:tc>
          <w:tcPr>
            <w:tcW w:w="1130" w:type="dxa"/>
            <w:tcBorders>
              <w:bottom w:val="single" w:sz="6" w:space="0" w:color="000000"/>
            </w:tcBorders>
            <w:tcMar>
              <w:bottom w:w="40" w:type="dxa"/>
            </w:tcMar>
            <w:vAlign w:val="center"/>
          </w:tcPr>
          <w:p>
            <w:pPr>
              <w:pStyle w:val="TableContents"/>
              <w:bidi w:val="0"/>
              <w:spacing w:before="0" w:after="283"/>
              <w:jc w:val="right"/>
              <w:rPr/>
            </w:pPr>
            <w:r>
              <w:rPr/>
              <w:t>28.3</w:t>
            </w:r>
          </w:p>
        </w:tc>
        <w:tc>
          <w:tcPr>
            <w:tcW w:w="592" w:type="dxa"/>
            <w:tcBorders>
              <w:bottom w:val="single" w:sz="6" w:space="0" w:color="000000"/>
            </w:tcBorders>
            <w:tcMar>
              <w:bottom w:w="40" w:type="dxa"/>
            </w:tcMar>
            <w:vAlign w:val="center"/>
          </w:tcPr>
          <w:p>
            <w:pPr>
              <w:pStyle w:val="TableContents"/>
              <w:bidi w:val="0"/>
              <w:spacing w:before="0" w:after="283"/>
              <w:jc w:val="left"/>
              <w:rPr/>
            </w:pPr>
            <w:r>
              <w:rPr/>
              <w:t>%</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c>
          <w:tcPr>
            <w:tcW w:w="2135" w:type="dxa"/>
            <w:gridSpan w:val="5"/>
            <w:tcBorders/>
            <w:vAlign w:val="center"/>
          </w:tcPr>
          <w:p>
            <w:pPr>
              <w:pStyle w:val="TableContents"/>
              <w:bidi w:val="0"/>
              <w:spacing w:before="0" w:after="283"/>
              <w:jc w:val="left"/>
              <w:rPr>
                <w:sz w:val="4"/>
                <w:szCs w:val="4"/>
              </w:rPr>
            </w:pPr>
            <w:r>
              <w:rPr>
                <w:sz w:val="4"/>
                <w:szCs w:val="4"/>
              </w:rPr>
            </w:r>
          </w:p>
        </w:tc>
        <w:tc>
          <w:tcPr>
            <w:tcW w:w="2270"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40" w:type="dxa"/>
            </w:tcMar>
            <w:vAlign w:val="center"/>
          </w:tcPr>
          <w:p>
            <w:pPr>
              <w:pStyle w:val="TableContents"/>
              <w:bidi w:val="0"/>
              <w:spacing w:before="0" w:after="0"/>
              <w:jc w:val="left"/>
              <w:rPr/>
            </w:pPr>
            <w:r>
              <w:rPr/>
              <w:t> </w:t>
            </w:r>
            <w:r>
              <w:rPr>
                <w:rFonts w:ascii="arial" w:hAnsi="arial"/>
                <w:sz w:val="20"/>
              </w:rPr>
              <w:t>W. Jeffrey Hire</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805" w:type="dxa"/>
            <w:tcBorders>
              <w:bottom w:val="single" w:sz="6" w:space="0" w:color="000000"/>
            </w:tcBorders>
            <w:tcMar>
              <w:bottom w:w="40" w:type="dxa"/>
            </w:tcMar>
            <w:vAlign w:val="center"/>
          </w:tcPr>
          <w:p>
            <w:pPr>
              <w:pStyle w:val="TableContents"/>
              <w:bidi w:val="0"/>
              <w:spacing w:before="0" w:after="283"/>
              <w:jc w:val="right"/>
              <w:rPr/>
            </w:pPr>
            <w:r>
              <w:rPr/>
              <w:t>420,000</w:t>
            </w:r>
          </w:p>
        </w:tc>
        <w:tc>
          <w:tcPr>
            <w:tcW w:w="25"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805" w:type="dxa"/>
            <w:tcBorders>
              <w:bottom w:val="single" w:sz="6" w:space="0" w:color="000000"/>
            </w:tcBorders>
            <w:tcMar>
              <w:bottom w:w="40" w:type="dxa"/>
            </w:tcMar>
            <w:vAlign w:val="center"/>
          </w:tcPr>
          <w:p>
            <w:pPr>
              <w:pStyle w:val="TableContents"/>
              <w:bidi w:val="0"/>
              <w:spacing w:before="0" w:after="283"/>
              <w:jc w:val="right"/>
              <w:rPr/>
            </w:pPr>
            <w:r>
              <w:rPr/>
              <w:t>450,000</w:t>
            </w:r>
          </w:p>
        </w:tc>
        <w:tc>
          <w:tcPr>
            <w:tcW w:w="25"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245" w:type="dxa"/>
            <w:tcBorders>
              <w:bottom w:val="single" w:sz="6" w:space="0" w:color="000000"/>
            </w:tcBorders>
            <w:tcMar>
              <w:bottom w:w="40" w:type="dxa"/>
            </w:tcMar>
            <w:vAlign w:val="center"/>
          </w:tcPr>
          <w:p>
            <w:pPr>
              <w:pStyle w:val="TableContents"/>
              <w:bidi w:val="0"/>
              <w:spacing w:before="0" w:after="283"/>
              <w:jc w:val="left"/>
              <w:rPr/>
            </w:pPr>
            <w:r>
              <w:rPr/>
              <w:t> </w:t>
            </w:r>
          </w:p>
        </w:tc>
        <w:tc>
          <w:tcPr>
            <w:tcW w:w="1309" w:type="dxa"/>
            <w:tcBorders>
              <w:bottom w:val="single" w:sz="6" w:space="0" w:color="000000"/>
            </w:tcBorders>
            <w:tcMar>
              <w:bottom w:w="40" w:type="dxa"/>
            </w:tcMar>
            <w:vAlign w:val="center"/>
          </w:tcPr>
          <w:p>
            <w:pPr>
              <w:pStyle w:val="TableContents"/>
              <w:bidi w:val="0"/>
              <w:spacing w:before="0" w:after="283"/>
              <w:jc w:val="right"/>
              <w:rPr/>
            </w:pPr>
            <w:r>
              <w:rPr/>
              <w:t>7.1</w:t>
            </w:r>
          </w:p>
        </w:tc>
        <w:tc>
          <w:tcPr>
            <w:tcW w:w="96"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54" w:type="dxa"/>
            <w:tcBorders>
              <w:bottom w:val="single" w:sz="6" w:space="0" w:color="000000"/>
            </w:tcBorders>
            <w:tcMar>
              <w:bottom w:w="28" w:type="dxa"/>
            </w:tcMar>
            <w:vAlign w:val="center"/>
          </w:tcPr>
          <w:p>
            <w:pPr>
              <w:pStyle w:val="TableContents"/>
              <w:bidi w:val="0"/>
              <w:spacing w:before="0" w:after="283"/>
              <w:jc w:val="left"/>
              <w:rPr/>
            </w:pPr>
            <w:r>
              <w:rPr/>
              <w:t> </w:t>
            </w:r>
          </w:p>
        </w:tc>
        <w:tc>
          <w:tcPr>
            <w:tcW w:w="154" w:type="dxa"/>
            <w:tcBorders>
              <w:bottom w:val="single" w:sz="6" w:space="0" w:color="000000"/>
            </w:tcBorders>
            <w:tcMar>
              <w:bottom w:w="40" w:type="dxa"/>
            </w:tcMar>
            <w:vAlign w:val="center"/>
          </w:tcPr>
          <w:p>
            <w:pPr>
              <w:pStyle w:val="TableContents"/>
              <w:bidi w:val="0"/>
              <w:spacing w:before="0" w:after="283"/>
              <w:jc w:val="left"/>
              <w:rPr/>
            </w:pPr>
            <w:r>
              <w:rPr/>
              <w:t> </w:t>
            </w:r>
          </w:p>
        </w:tc>
        <w:tc>
          <w:tcPr>
            <w:tcW w:w="1130" w:type="dxa"/>
            <w:tcBorders>
              <w:bottom w:val="single" w:sz="6" w:space="0" w:color="000000"/>
            </w:tcBorders>
            <w:tcMar>
              <w:bottom w:w="40" w:type="dxa"/>
            </w:tcMar>
            <w:vAlign w:val="center"/>
          </w:tcPr>
          <w:p>
            <w:pPr>
              <w:pStyle w:val="TableContents"/>
              <w:bidi w:val="0"/>
              <w:spacing w:before="0" w:after="283"/>
              <w:jc w:val="right"/>
              <w:rPr/>
            </w:pPr>
            <w:r>
              <w:rPr/>
              <w:t>50.8</w:t>
            </w:r>
          </w:p>
        </w:tc>
        <w:tc>
          <w:tcPr>
            <w:tcW w:w="592" w:type="dxa"/>
            <w:tcBorders>
              <w:bottom w:val="single" w:sz="6" w:space="0" w:color="000000"/>
            </w:tcBorders>
            <w:tcMar>
              <w:bottom w:w="40" w:type="dxa"/>
            </w:tcMar>
            <w:vAlign w:val="center"/>
          </w:tcPr>
          <w:p>
            <w:pPr>
              <w:pStyle w:val="TableContents"/>
              <w:bidi w:val="0"/>
              <w:spacing w:before="0" w:after="283"/>
              <w:jc w:val="left"/>
              <w:rPr/>
            </w:pPr>
            <w:r>
              <w:rPr/>
              <w:t>%</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c>
          <w:tcPr>
            <w:tcW w:w="2135" w:type="dxa"/>
            <w:gridSpan w:val="5"/>
            <w:tcBorders/>
            <w:vAlign w:val="center"/>
          </w:tcPr>
          <w:p>
            <w:pPr>
              <w:pStyle w:val="TableContents"/>
              <w:bidi w:val="0"/>
              <w:spacing w:before="0" w:after="283"/>
              <w:jc w:val="left"/>
              <w:rPr>
                <w:sz w:val="4"/>
                <w:szCs w:val="4"/>
              </w:rPr>
            </w:pPr>
            <w:r>
              <w:rPr>
                <w:sz w:val="4"/>
                <w:szCs w:val="4"/>
              </w:rPr>
            </w:r>
          </w:p>
        </w:tc>
        <w:tc>
          <w:tcPr>
            <w:tcW w:w="2270"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shd w:fill="D5DBE3" w:val="clear"/>
            <w:tcMar>
              <w:bottom w:w="40" w:type="dxa"/>
            </w:tcMar>
            <w:vAlign w:val="center"/>
          </w:tcPr>
          <w:p>
            <w:pPr>
              <w:pStyle w:val="TableContents"/>
              <w:bidi w:val="0"/>
              <w:spacing w:before="0" w:after="0"/>
              <w:jc w:val="left"/>
              <w:rPr/>
            </w:pPr>
            <w:r>
              <w:rPr/>
              <w:t> </w:t>
            </w:r>
            <w:r>
              <w:rPr>
                <w:rFonts w:ascii="arial" w:hAnsi="arial"/>
                <w:sz w:val="20"/>
              </w:rPr>
              <w:t>Jason R. Niswonger</w:t>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40" w:type="dxa"/>
            </w:tcMar>
            <w:vAlign w:val="center"/>
          </w:tcPr>
          <w:p>
            <w:pPr>
              <w:pStyle w:val="TableContents"/>
              <w:bidi w:val="0"/>
              <w:spacing w:before="0" w:after="283"/>
              <w:jc w:val="left"/>
              <w:rPr/>
            </w:pPr>
            <w:r>
              <w:rPr/>
              <w:t> </w:t>
            </w:r>
          </w:p>
        </w:tc>
        <w:tc>
          <w:tcPr>
            <w:tcW w:w="805" w:type="dxa"/>
            <w:tcBorders>
              <w:bottom w:val="single" w:sz="12" w:space="0" w:color="1070B8"/>
            </w:tcBorders>
            <w:tcMar>
              <w:bottom w:w="40" w:type="dxa"/>
            </w:tcMar>
            <w:vAlign w:val="center"/>
          </w:tcPr>
          <w:p>
            <w:pPr>
              <w:pStyle w:val="TableContents"/>
              <w:bidi w:val="0"/>
              <w:spacing w:before="0" w:after="283"/>
              <w:jc w:val="right"/>
              <w:rPr/>
            </w:pPr>
            <w:r>
              <w:rPr/>
              <w:t>425,000</w:t>
            </w:r>
          </w:p>
        </w:tc>
        <w:tc>
          <w:tcPr>
            <w:tcW w:w="25" w:type="dxa"/>
            <w:tcBorders>
              <w:bottom w:val="single" w:sz="12" w:space="0" w:color="1070B8"/>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40" w:type="dxa"/>
            </w:tcMar>
            <w:vAlign w:val="center"/>
          </w:tcPr>
          <w:p>
            <w:pPr>
              <w:pStyle w:val="TableContents"/>
              <w:bidi w:val="0"/>
              <w:spacing w:before="0" w:after="283"/>
              <w:jc w:val="left"/>
              <w:rPr/>
            </w:pPr>
            <w:r>
              <w:rPr/>
              <w:t> </w:t>
            </w:r>
          </w:p>
        </w:tc>
        <w:tc>
          <w:tcPr>
            <w:tcW w:w="805" w:type="dxa"/>
            <w:tcBorders>
              <w:bottom w:val="single" w:sz="12" w:space="0" w:color="1070B8"/>
            </w:tcBorders>
            <w:tcMar>
              <w:bottom w:w="40" w:type="dxa"/>
            </w:tcMar>
            <w:vAlign w:val="center"/>
          </w:tcPr>
          <w:p>
            <w:pPr>
              <w:pStyle w:val="TableContents"/>
              <w:bidi w:val="0"/>
              <w:spacing w:before="0" w:after="283"/>
              <w:jc w:val="right"/>
              <w:rPr/>
            </w:pPr>
            <w:r>
              <w:rPr/>
              <w:t>465,000</w:t>
            </w:r>
          </w:p>
        </w:tc>
        <w:tc>
          <w:tcPr>
            <w:tcW w:w="25" w:type="dxa"/>
            <w:tcBorders>
              <w:bottom w:val="single" w:sz="12" w:space="0" w:color="1070B8"/>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245" w:type="dxa"/>
            <w:tcBorders>
              <w:bottom w:val="single" w:sz="12" w:space="0" w:color="1070B8"/>
            </w:tcBorders>
            <w:tcMar>
              <w:bottom w:w="28" w:type="dxa"/>
            </w:tcMar>
            <w:vAlign w:val="center"/>
          </w:tcPr>
          <w:p>
            <w:pPr>
              <w:pStyle w:val="TableContents"/>
              <w:bidi w:val="0"/>
              <w:spacing w:before="0" w:after="283"/>
              <w:jc w:val="left"/>
              <w:rPr/>
            </w:pPr>
            <w:r>
              <w:rPr/>
              <w:t> </w:t>
            </w:r>
          </w:p>
        </w:tc>
        <w:tc>
          <w:tcPr>
            <w:tcW w:w="245" w:type="dxa"/>
            <w:tcBorders>
              <w:bottom w:val="single" w:sz="12" w:space="0" w:color="1070B8"/>
            </w:tcBorders>
            <w:tcMar>
              <w:bottom w:w="40" w:type="dxa"/>
            </w:tcMar>
            <w:vAlign w:val="center"/>
          </w:tcPr>
          <w:p>
            <w:pPr>
              <w:pStyle w:val="TableContents"/>
              <w:bidi w:val="0"/>
              <w:spacing w:before="0" w:after="283"/>
              <w:jc w:val="left"/>
              <w:rPr/>
            </w:pPr>
            <w:r>
              <w:rPr/>
              <w:t> </w:t>
            </w:r>
          </w:p>
        </w:tc>
        <w:tc>
          <w:tcPr>
            <w:tcW w:w="1309" w:type="dxa"/>
            <w:tcBorders>
              <w:bottom w:val="single" w:sz="12" w:space="0" w:color="1070B8"/>
            </w:tcBorders>
            <w:tcMar>
              <w:bottom w:w="40" w:type="dxa"/>
            </w:tcMar>
            <w:vAlign w:val="center"/>
          </w:tcPr>
          <w:p>
            <w:pPr>
              <w:pStyle w:val="TableContents"/>
              <w:bidi w:val="0"/>
              <w:spacing w:before="0" w:after="283"/>
              <w:jc w:val="right"/>
              <w:rPr/>
            </w:pPr>
            <w:r>
              <w:rPr/>
              <w:t>9.4</w:t>
            </w:r>
          </w:p>
        </w:tc>
        <w:tc>
          <w:tcPr>
            <w:tcW w:w="96" w:type="dxa"/>
            <w:tcBorders>
              <w:bottom w:val="single" w:sz="12" w:space="0" w:color="1070B8"/>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154" w:type="dxa"/>
            <w:tcBorders>
              <w:bottom w:val="single" w:sz="12" w:space="0" w:color="1070B8"/>
            </w:tcBorders>
            <w:tcMar>
              <w:bottom w:w="28" w:type="dxa"/>
            </w:tcMar>
            <w:vAlign w:val="center"/>
          </w:tcPr>
          <w:p>
            <w:pPr>
              <w:pStyle w:val="TableContents"/>
              <w:bidi w:val="0"/>
              <w:spacing w:before="0" w:after="283"/>
              <w:jc w:val="left"/>
              <w:rPr/>
            </w:pPr>
            <w:r>
              <w:rPr/>
              <w:t> </w:t>
            </w:r>
          </w:p>
        </w:tc>
        <w:tc>
          <w:tcPr>
            <w:tcW w:w="154" w:type="dxa"/>
            <w:tcBorders>
              <w:bottom w:val="single" w:sz="12" w:space="0" w:color="1070B8"/>
            </w:tcBorders>
            <w:tcMar>
              <w:bottom w:w="40" w:type="dxa"/>
            </w:tcMar>
            <w:vAlign w:val="center"/>
          </w:tcPr>
          <w:p>
            <w:pPr>
              <w:pStyle w:val="TableContents"/>
              <w:bidi w:val="0"/>
              <w:spacing w:before="0" w:after="283"/>
              <w:jc w:val="left"/>
              <w:rPr/>
            </w:pPr>
            <w:r>
              <w:rPr/>
              <w:t> </w:t>
            </w:r>
          </w:p>
        </w:tc>
        <w:tc>
          <w:tcPr>
            <w:tcW w:w="1130" w:type="dxa"/>
            <w:tcBorders>
              <w:bottom w:val="single" w:sz="12" w:space="0" w:color="1070B8"/>
            </w:tcBorders>
            <w:tcMar>
              <w:bottom w:w="40" w:type="dxa"/>
            </w:tcMar>
            <w:vAlign w:val="center"/>
          </w:tcPr>
          <w:p>
            <w:pPr>
              <w:pStyle w:val="TableContents"/>
              <w:bidi w:val="0"/>
              <w:spacing w:before="0" w:after="283"/>
              <w:jc w:val="right"/>
              <w:rPr/>
            </w:pPr>
            <w:r>
              <w:rPr/>
              <w:t>40.7</w:t>
            </w:r>
          </w:p>
        </w:tc>
        <w:tc>
          <w:tcPr>
            <w:tcW w:w="592" w:type="dxa"/>
            <w:tcBorders>
              <w:bottom w:val="single" w:sz="12" w:space="0" w:color="1070B8"/>
            </w:tcBorders>
            <w:tcMar>
              <w:bottom w:w="40" w:type="dxa"/>
            </w:tcMar>
            <w:vAlign w:val="center"/>
          </w:tcPr>
          <w:p>
            <w:pPr>
              <w:pStyle w:val="TableContents"/>
              <w:bidi w:val="0"/>
              <w:spacing w:before="0" w:after="283"/>
              <w:jc w:val="left"/>
              <w:rPr/>
            </w:pPr>
            <w:r>
              <w:rPr/>
              <w:t>%</w:t>
            </w:r>
          </w:p>
        </w:tc>
      </w:tr>
    </w:tbl>
    <w:p>
      <w:pPr>
        <w:pStyle w:val="TextBody"/>
        <w:bidi w:val="0"/>
        <w:spacing w:before="240" w:after="0"/>
        <w:jc w:val="left"/>
        <w:rPr>
          <w:rFonts w:ascii="arial" w:hAnsi="arial"/>
          <w:sz w:val="20"/>
        </w:rPr>
      </w:pPr>
      <w:r>
        <w:rPr>
          <w:rFonts w:ascii="arial" w:hAnsi="arial"/>
          <w:sz w:val="20"/>
        </w:rPr>
        <w:t xml:space="preserve">The CHC Committee determined to increase the base salaries of our NEOs as a result of their increased responsibilities due to the increased size and complexity of the Company’s business, strong individual performance and peer practices.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1070B8"/>
          <w:sz w:val="22"/>
        </w:rPr>
      </w:pPr>
      <w:bookmarkStart w:id="86" w:name="txc849638_23"/>
      <w:bookmarkEnd w:id="86"/>
      <w:r>
        <w:rPr>
          <w:rFonts w:ascii="arial" w:hAnsi="arial"/>
          <w:color w:val="1070B8"/>
          <w:sz w:val="22"/>
        </w:rPr>
        <w:t xml:space="preserve">2024 Performance-Based Incentive Cash Awards </w:t>
      </w:r>
    </w:p>
    <w:p>
      <w:pPr>
        <w:pStyle w:val="TextBody"/>
        <w:bidi w:val="0"/>
        <w:spacing w:before="240" w:after="0"/>
        <w:jc w:val="left"/>
        <w:rPr>
          <w:rFonts w:ascii="arial" w:hAnsi="arial"/>
          <w:sz w:val="20"/>
        </w:rPr>
      </w:pPr>
      <w:r>
        <w:rPr>
          <w:rFonts w:ascii="arial" w:hAnsi="arial"/>
          <w:sz w:val="20"/>
        </w:rPr>
        <w:t xml:space="preserve">In consultation with our Chief Executive Officer and Chief Financial Officer, in February 2024, the CHC Committee considered corporate goals and objectives for our named executive officers for the 2024 fiscal year. Based on management’s strategic and operational goals and considering management’s short- and long-term budgets and projections, the CHC Committee established an Adjusted EBITDA target of $525.8 million as the 2024 performance metric for our NEOs’ performance-based incentive awards, to be adjusted throughout the year for the impact of acquisitions. The committee determined that the performance goal was reasonable, but would be challenging given macroeconomic headwinds and projections for our industry. </w:t>
      </w:r>
    </w:p>
    <w:p>
      <w:pPr>
        <w:pStyle w:val="TextBody"/>
        <w:bidi w:val="0"/>
        <w:spacing w:before="240" w:after="0"/>
        <w:jc w:val="left"/>
        <w:rPr>
          <w:rFonts w:ascii="arial" w:hAnsi="arial"/>
          <w:sz w:val="20"/>
        </w:rPr>
      </w:pPr>
      <w:r>
        <w:rPr>
          <w:rFonts w:ascii="arial" w:hAnsi="arial"/>
          <w:sz w:val="20"/>
        </w:rPr>
        <w:t xml:space="preserve">The CHC Committee set target performance-based incentive cash awards for each NEO as set forth in the table below. The target awards were increased for 2024 to bring compensation levels into alignment with the Company’s peers, to compensate our officers based on their increasing responsibilities due to Company growth and expanding service categories and to encourage our executive team to continue to focus its efforts on further increasing Company growth and creating stockholder value. Thresholds remained unchanged. The amount of each NEO’s earned incentive cash award was equal to the NEO’s target award multiplied by the percentage of the Adjusted EBITDA target achieved. No incentive award would be earned if the Company’s actual Adjusted EBITDA during 2024 was less than 50% of the target, as adjusted for acquisitions, and awards were capped at 200% of target. Unless otherwise determined by the CHC Committee, payment of any incentive cash award is generally subject to the NEO remaining employed through the payment date. Incentive cash awards are subject to clawback under the terms of our recoupment policies. </w:t>
      </w:r>
    </w:p>
    <w:p>
      <w:pPr>
        <w:pStyle w:val="TextBody"/>
        <w:bidi w:val="0"/>
        <w:spacing w:before="240" w:after="0"/>
        <w:jc w:val="left"/>
        <w:rPr>
          <w:rFonts w:ascii="arial" w:hAnsi="arial"/>
          <w:sz w:val="20"/>
        </w:rPr>
      </w:pPr>
      <w:r>
        <w:rPr>
          <w:rFonts w:ascii="arial" w:hAnsi="arial"/>
          <w:sz w:val="20"/>
        </w:rPr>
        <w:t xml:space="preserve">In February 2025, the CHC Committee met to review the results of the Company’s performance against the target Adjusted EBITDA performance metric. The Company’s final Adjusted EBITDA target, as adjusted for the impact of acquisitions during the year, was $532.9 million. Actual Adjusted EBITDA was $511.4 million, or approximately 95.96% of target. </w:t>
      </w:r>
    </w:p>
    <w:p>
      <w:pPr>
        <w:pStyle w:val="TextBody"/>
        <w:bidi w:val="0"/>
        <w:spacing w:before="240" w:after="0"/>
        <w:jc w:val="left"/>
        <w:rPr>
          <w:rFonts w:ascii="arial" w:hAnsi="arial"/>
          <w:sz w:val="20"/>
        </w:rPr>
      </w:pPr>
      <w:r>
        <w:rPr>
          <w:rFonts w:ascii="arial" w:hAnsi="arial"/>
          <w:sz w:val="20"/>
        </w:rPr>
        <w:t xml:space="preserve">The following table reflects each NEO’s 2024 target cash incentive award, earned cash incentive award and earned cash incentive award as a percentage of total compensation. </w:t>
      </w:r>
    </w:p>
    <w:p>
      <w:pPr>
        <w:pStyle w:val="TextBody"/>
        <w:bidi w:val="0"/>
        <w:spacing w:before="0" w:after="0"/>
        <w:jc w:val="left"/>
        <w:rPr/>
      </w:pPr>
      <w:r>
        <w:rPr/>
        <w:t> </w:t>
      </w:r>
    </w:p>
    <w:tbl>
      <w:tblPr>
        <w:tblW w:w="7858" w:type="dxa"/>
        <w:jc w:val="left"/>
        <w:tblInd w:w="0" w:type="dxa"/>
        <w:tblLayout w:type="fixed"/>
        <w:tblCellMar>
          <w:top w:w="0" w:type="dxa"/>
          <w:left w:w="0" w:type="dxa"/>
          <w:bottom w:w="0" w:type="dxa"/>
          <w:right w:w="0" w:type="dxa"/>
        </w:tblCellMar>
      </w:tblPr>
      <w:tblGrid>
        <w:gridCol w:w="1895"/>
        <w:gridCol w:w="240"/>
        <w:gridCol w:w="1295"/>
        <w:gridCol w:w="240"/>
        <w:gridCol w:w="1370"/>
        <w:gridCol w:w="240"/>
        <w:gridCol w:w="2540"/>
        <w:gridCol w:w="38"/>
      </w:tblGrid>
      <w:tr>
        <w:trPr/>
        <w:tc>
          <w:tcPr>
            <w:tcW w:w="18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895" w:type="dxa"/>
            <w:vMerge w:val="restart"/>
            <w:tcBorders/>
            <w:vAlign w:val="center"/>
          </w:tcPr>
          <w:p>
            <w:pPr>
              <w:pStyle w:val="TableContents"/>
              <w:bidi w:val="0"/>
              <w:spacing w:before="0" w:after="283"/>
              <w:jc w:val="left"/>
              <w:rPr>
                <w:b/>
                <w:color w:val="1F295C"/>
              </w:rPr>
            </w:pPr>
            <w:r>
              <w:rPr>
                <w:b/>
                <w:color w:val="1F295C"/>
              </w:rPr>
              <w:t>Name</w:t>
            </w:r>
          </w:p>
        </w:tc>
        <w:tc>
          <w:tcPr>
            <w:tcW w:w="240" w:type="dxa"/>
            <w:vMerge w:val="restart"/>
            <w:tcBorders/>
            <w:vAlign w:val="center"/>
          </w:tcPr>
          <w:p>
            <w:pPr>
              <w:pStyle w:val="TableContents"/>
              <w:bidi w:val="0"/>
              <w:spacing w:before="0" w:after="283"/>
              <w:jc w:val="left"/>
              <w:rPr/>
            </w:pPr>
            <w:r>
              <w:rPr/>
              <w:t>    </w:t>
            </w:r>
          </w:p>
        </w:tc>
        <w:tc>
          <w:tcPr>
            <w:tcW w:w="1295" w:type="dxa"/>
            <w:vMerge w:val="restart"/>
            <w:tcBorders/>
            <w:vAlign w:val="center"/>
          </w:tcPr>
          <w:p>
            <w:pPr>
              <w:pStyle w:val="TableContents"/>
              <w:bidi w:val="0"/>
              <w:spacing w:before="0" w:after="283"/>
              <w:jc w:val="center"/>
              <w:rPr>
                <w:b/>
                <w:color w:val="1F295C"/>
              </w:rPr>
            </w:pPr>
            <w:r>
              <w:rPr>
                <w:b/>
                <w:color w:val="1F295C"/>
              </w:rPr>
              <w:t>Target Cash</w:t>
              <w:br/>
              <w:t>Incentive</w:t>
              <w:br/>
              <w:t>($)</w:t>
            </w:r>
          </w:p>
        </w:tc>
        <w:tc>
          <w:tcPr>
            <w:tcW w:w="240" w:type="dxa"/>
            <w:vMerge w:val="restart"/>
            <w:tcBorders/>
            <w:vAlign w:val="center"/>
          </w:tcPr>
          <w:p>
            <w:pPr>
              <w:pStyle w:val="TableContents"/>
              <w:bidi w:val="0"/>
              <w:spacing w:before="0" w:after="283"/>
              <w:jc w:val="left"/>
              <w:rPr/>
            </w:pPr>
            <w:r>
              <w:rPr/>
              <w:t>    </w:t>
            </w:r>
          </w:p>
        </w:tc>
        <w:tc>
          <w:tcPr>
            <w:tcW w:w="1370" w:type="dxa"/>
            <w:vMerge w:val="restart"/>
            <w:tcBorders/>
            <w:vAlign w:val="center"/>
          </w:tcPr>
          <w:p>
            <w:pPr>
              <w:pStyle w:val="TableContents"/>
              <w:bidi w:val="0"/>
              <w:spacing w:before="0" w:after="283"/>
              <w:jc w:val="center"/>
              <w:rPr>
                <w:b/>
                <w:color w:val="1F295C"/>
              </w:rPr>
            </w:pPr>
            <w:r>
              <w:rPr>
                <w:b/>
                <w:color w:val="1F295C"/>
              </w:rPr>
              <w:t>Earned Cash</w:t>
              <w:br/>
              <w:t>Incentive</w:t>
              <w:br/>
              <w:t>($)</w:t>
            </w:r>
          </w:p>
        </w:tc>
        <w:tc>
          <w:tcPr>
            <w:tcW w:w="240" w:type="dxa"/>
            <w:vMerge w:val="restart"/>
            <w:tcBorders/>
            <w:vAlign w:val="center"/>
          </w:tcPr>
          <w:p>
            <w:pPr>
              <w:pStyle w:val="TableContents"/>
              <w:bidi w:val="0"/>
              <w:spacing w:before="0" w:after="283"/>
              <w:jc w:val="left"/>
              <w:rPr/>
            </w:pPr>
            <w:r>
              <w:rPr/>
              <w:t>    </w:t>
            </w:r>
          </w:p>
        </w:tc>
        <w:tc>
          <w:tcPr>
            <w:tcW w:w="2540" w:type="dxa"/>
            <w:vMerge w:val="restart"/>
            <w:tcBorders/>
            <w:vAlign w:val="center"/>
          </w:tcPr>
          <w:p>
            <w:pPr>
              <w:pStyle w:val="TableContents"/>
              <w:bidi w:val="0"/>
              <w:spacing w:before="0" w:after="0"/>
              <w:jc w:val="center"/>
              <w:rPr>
                <w:rFonts w:ascii="arial" w:hAnsi="arial"/>
                <w:b/>
                <w:color w:val="1F295C"/>
                <w:sz w:val="20"/>
              </w:rPr>
            </w:pPr>
            <w:r>
              <w:rPr>
                <w:rFonts w:ascii="arial" w:hAnsi="arial"/>
                <w:b/>
                <w:color w:val="1F295C"/>
                <w:sz w:val="20"/>
              </w:rPr>
              <w:t>Earned Cash Incentive as a</w:t>
              <w:br/>
              <w:t>Percentage of Earned</w:t>
              <w:br/>
              <w:t>Total Compensation</w:t>
            </w:r>
          </w:p>
          <w:p>
            <w:pPr>
              <w:pStyle w:val="TableContents"/>
              <w:bidi w:val="0"/>
              <w:spacing w:before="0" w:after="20"/>
              <w:jc w:val="center"/>
              <w:rPr>
                <w:rFonts w:ascii="arial" w:hAnsi="arial"/>
                <w:b/>
                <w:color w:val="1F295C"/>
                <w:sz w:val="20"/>
              </w:rPr>
            </w:pPr>
            <w:r>
              <w:rPr>
                <w:rFonts w:ascii="arial" w:hAnsi="arial"/>
                <w:b/>
                <w:color w:val="1F295C"/>
                <w:sz w:val="20"/>
              </w:rPr>
              <w:t>(%)</w:t>
            </w:r>
          </w:p>
        </w:tc>
        <w:tc>
          <w:tcPr>
            <w:tcW w:w="38" w:type="dxa"/>
            <w:tcBorders/>
          </w:tcPr>
          <w:p>
            <w:pPr>
              <w:pStyle w:val="TableContents"/>
              <w:bidi w:val="0"/>
              <w:spacing w:before="0" w:after="283"/>
              <w:jc w:val="left"/>
              <w:rPr>
                <w:sz w:val="4"/>
                <w:szCs w:val="4"/>
              </w:rPr>
            </w:pPr>
            <w:r>
              <w:rPr>
                <w:sz w:val="4"/>
                <w:szCs w:val="4"/>
              </w:rPr>
            </w:r>
          </w:p>
        </w:tc>
      </w:tr>
      <w:tr>
        <w:trPr/>
        <w:tc>
          <w:tcPr>
            <w:tcW w:w="1895" w:type="dxa"/>
            <w:vMerge w:val="continue"/>
            <w:tcBorders/>
            <w:vAlign w:val="center"/>
          </w:tcPr>
          <w:p>
            <w:pPr>
              <w:pStyle w:val="Normal"/>
              <w:bidi w:val="0"/>
              <w:jc w:val="left"/>
              <w:rPr/>
            </w:pPr>
            <w:r>
              <w:rPr/>
            </w:r>
          </w:p>
        </w:tc>
        <w:tc>
          <w:tcPr>
            <w:tcW w:w="240" w:type="dxa"/>
            <w:vMerge w:val="continue"/>
            <w:tcBorders/>
            <w:vAlign w:val="center"/>
          </w:tcPr>
          <w:p>
            <w:pPr>
              <w:pStyle w:val="Normal"/>
              <w:bidi w:val="0"/>
              <w:jc w:val="left"/>
              <w:rPr/>
            </w:pPr>
            <w:r>
              <w:rPr/>
            </w:r>
          </w:p>
        </w:tc>
        <w:tc>
          <w:tcPr>
            <w:tcW w:w="1295" w:type="dxa"/>
            <w:vMerge w:val="continue"/>
            <w:tcBorders/>
            <w:vAlign w:val="center"/>
          </w:tcPr>
          <w:p>
            <w:pPr>
              <w:pStyle w:val="Normal"/>
              <w:bidi w:val="0"/>
              <w:jc w:val="left"/>
              <w:rPr/>
            </w:pPr>
            <w:r>
              <w:rPr/>
            </w:r>
          </w:p>
        </w:tc>
        <w:tc>
          <w:tcPr>
            <w:tcW w:w="240" w:type="dxa"/>
            <w:vMerge w:val="continue"/>
            <w:tcBorders/>
            <w:vAlign w:val="center"/>
          </w:tcPr>
          <w:p>
            <w:pPr>
              <w:pStyle w:val="Normal"/>
              <w:bidi w:val="0"/>
              <w:jc w:val="left"/>
              <w:rPr/>
            </w:pPr>
            <w:r>
              <w:rPr/>
            </w:r>
          </w:p>
        </w:tc>
        <w:tc>
          <w:tcPr>
            <w:tcW w:w="1370" w:type="dxa"/>
            <w:vMerge w:val="continue"/>
            <w:tcBorders/>
            <w:vAlign w:val="center"/>
          </w:tcPr>
          <w:p>
            <w:pPr>
              <w:pStyle w:val="Normal"/>
              <w:bidi w:val="0"/>
              <w:jc w:val="left"/>
              <w:rPr/>
            </w:pPr>
            <w:r>
              <w:rPr/>
            </w:r>
          </w:p>
        </w:tc>
        <w:tc>
          <w:tcPr>
            <w:tcW w:w="240" w:type="dxa"/>
            <w:vMerge w:val="continue"/>
            <w:tcBorders/>
            <w:vAlign w:val="center"/>
          </w:tcPr>
          <w:p>
            <w:pPr>
              <w:pStyle w:val="Normal"/>
              <w:bidi w:val="0"/>
              <w:jc w:val="left"/>
              <w:rPr/>
            </w:pPr>
            <w:r>
              <w:rPr/>
            </w:r>
          </w:p>
        </w:tc>
        <w:tc>
          <w:tcPr>
            <w:tcW w:w="2540"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95" w:type="dxa"/>
            <w:vMerge w:val="continue"/>
            <w:tcBorders/>
            <w:vAlign w:val="center"/>
          </w:tcPr>
          <w:p>
            <w:pPr>
              <w:pStyle w:val="Normal"/>
              <w:bidi w:val="0"/>
              <w:jc w:val="left"/>
              <w:rPr/>
            </w:pPr>
            <w:r>
              <w:rPr/>
            </w:r>
          </w:p>
        </w:tc>
        <w:tc>
          <w:tcPr>
            <w:tcW w:w="240" w:type="dxa"/>
            <w:vMerge w:val="continue"/>
            <w:tcBorders/>
            <w:vAlign w:val="center"/>
          </w:tcPr>
          <w:p>
            <w:pPr>
              <w:pStyle w:val="Normal"/>
              <w:bidi w:val="0"/>
              <w:jc w:val="left"/>
              <w:rPr/>
            </w:pPr>
            <w:r>
              <w:rPr/>
            </w:r>
          </w:p>
        </w:tc>
        <w:tc>
          <w:tcPr>
            <w:tcW w:w="1295" w:type="dxa"/>
            <w:vMerge w:val="continue"/>
            <w:tcBorders/>
            <w:vAlign w:val="center"/>
          </w:tcPr>
          <w:p>
            <w:pPr>
              <w:pStyle w:val="Normal"/>
              <w:bidi w:val="0"/>
              <w:jc w:val="left"/>
              <w:rPr/>
            </w:pPr>
            <w:r>
              <w:rPr/>
            </w:r>
          </w:p>
        </w:tc>
        <w:tc>
          <w:tcPr>
            <w:tcW w:w="240" w:type="dxa"/>
            <w:vMerge w:val="continue"/>
            <w:tcBorders/>
            <w:vAlign w:val="center"/>
          </w:tcPr>
          <w:p>
            <w:pPr>
              <w:pStyle w:val="Normal"/>
              <w:bidi w:val="0"/>
              <w:jc w:val="left"/>
              <w:rPr/>
            </w:pPr>
            <w:r>
              <w:rPr/>
            </w:r>
          </w:p>
        </w:tc>
        <w:tc>
          <w:tcPr>
            <w:tcW w:w="1370" w:type="dxa"/>
            <w:vMerge w:val="continue"/>
            <w:tcBorders/>
            <w:vAlign w:val="center"/>
          </w:tcPr>
          <w:p>
            <w:pPr>
              <w:pStyle w:val="Normal"/>
              <w:bidi w:val="0"/>
              <w:jc w:val="left"/>
              <w:rPr/>
            </w:pPr>
            <w:r>
              <w:rPr/>
            </w:r>
          </w:p>
        </w:tc>
        <w:tc>
          <w:tcPr>
            <w:tcW w:w="240" w:type="dxa"/>
            <w:vMerge w:val="continue"/>
            <w:tcBorders/>
            <w:vAlign w:val="center"/>
          </w:tcPr>
          <w:p>
            <w:pPr>
              <w:pStyle w:val="Normal"/>
              <w:bidi w:val="0"/>
              <w:jc w:val="left"/>
              <w:rPr/>
            </w:pPr>
            <w:r>
              <w:rPr/>
            </w:r>
          </w:p>
        </w:tc>
        <w:tc>
          <w:tcPr>
            <w:tcW w:w="2540"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95" w:type="dxa"/>
            <w:vMerge w:val="continue"/>
            <w:tcBorders/>
            <w:vAlign w:val="center"/>
          </w:tcPr>
          <w:p>
            <w:pPr>
              <w:pStyle w:val="Normal"/>
              <w:bidi w:val="0"/>
              <w:jc w:val="left"/>
              <w:rPr/>
            </w:pPr>
            <w:r>
              <w:rPr/>
            </w:r>
          </w:p>
        </w:tc>
        <w:tc>
          <w:tcPr>
            <w:tcW w:w="240" w:type="dxa"/>
            <w:vMerge w:val="continue"/>
            <w:tcBorders/>
            <w:vAlign w:val="center"/>
          </w:tcPr>
          <w:p>
            <w:pPr>
              <w:pStyle w:val="Normal"/>
              <w:bidi w:val="0"/>
              <w:jc w:val="left"/>
              <w:rPr/>
            </w:pPr>
            <w:r>
              <w:rPr/>
            </w:r>
          </w:p>
        </w:tc>
        <w:tc>
          <w:tcPr>
            <w:tcW w:w="1295" w:type="dxa"/>
            <w:vMerge w:val="continue"/>
            <w:tcBorders/>
            <w:vAlign w:val="center"/>
          </w:tcPr>
          <w:p>
            <w:pPr>
              <w:pStyle w:val="Normal"/>
              <w:bidi w:val="0"/>
              <w:jc w:val="left"/>
              <w:rPr/>
            </w:pPr>
            <w:r>
              <w:rPr/>
            </w:r>
          </w:p>
        </w:tc>
        <w:tc>
          <w:tcPr>
            <w:tcW w:w="240" w:type="dxa"/>
            <w:vMerge w:val="continue"/>
            <w:tcBorders/>
            <w:vAlign w:val="center"/>
          </w:tcPr>
          <w:p>
            <w:pPr>
              <w:pStyle w:val="Normal"/>
              <w:bidi w:val="0"/>
              <w:jc w:val="left"/>
              <w:rPr/>
            </w:pPr>
            <w:r>
              <w:rPr/>
            </w:r>
          </w:p>
        </w:tc>
        <w:tc>
          <w:tcPr>
            <w:tcW w:w="1370" w:type="dxa"/>
            <w:vMerge w:val="continue"/>
            <w:tcBorders/>
            <w:vAlign w:val="center"/>
          </w:tcPr>
          <w:p>
            <w:pPr>
              <w:pStyle w:val="Normal"/>
              <w:bidi w:val="0"/>
              <w:jc w:val="left"/>
              <w:rPr/>
            </w:pPr>
            <w:r>
              <w:rPr/>
            </w:r>
          </w:p>
        </w:tc>
        <w:tc>
          <w:tcPr>
            <w:tcW w:w="240" w:type="dxa"/>
            <w:vMerge w:val="continue"/>
            <w:tcBorders/>
            <w:vAlign w:val="center"/>
          </w:tcPr>
          <w:p>
            <w:pPr>
              <w:pStyle w:val="Normal"/>
              <w:bidi w:val="0"/>
              <w:jc w:val="left"/>
              <w:rPr/>
            </w:pPr>
            <w:r>
              <w:rPr/>
            </w:r>
          </w:p>
        </w:tc>
        <w:tc>
          <w:tcPr>
            <w:tcW w:w="2540"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95" w:type="dxa"/>
            <w:vMerge w:val="continue"/>
            <w:tcBorders/>
            <w:vAlign w:val="center"/>
          </w:tcPr>
          <w:p>
            <w:pPr>
              <w:pStyle w:val="Normal"/>
              <w:bidi w:val="0"/>
              <w:jc w:val="left"/>
              <w:rPr/>
            </w:pPr>
            <w:r>
              <w:rPr/>
            </w:r>
          </w:p>
        </w:tc>
        <w:tc>
          <w:tcPr>
            <w:tcW w:w="240" w:type="dxa"/>
            <w:vMerge w:val="continue"/>
            <w:tcBorders/>
            <w:vAlign w:val="center"/>
          </w:tcPr>
          <w:p>
            <w:pPr>
              <w:pStyle w:val="Normal"/>
              <w:bidi w:val="0"/>
              <w:jc w:val="left"/>
              <w:rPr/>
            </w:pPr>
            <w:r>
              <w:rPr/>
            </w:r>
          </w:p>
        </w:tc>
        <w:tc>
          <w:tcPr>
            <w:tcW w:w="1295" w:type="dxa"/>
            <w:vMerge w:val="continue"/>
            <w:tcBorders/>
            <w:vAlign w:val="center"/>
          </w:tcPr>
          <w:p>
            <w:pPr>
              <w:pStyle w:val="Normal"/>
              <w:bidi w:val="0"/>
              <w:jc w:val="left"/>
              <w:rPr/>
            </w:pPr>
            <w:r>
              <w:rPr/>
            </w:r>
          </w:p>
        </w:tc>
        <w:tc>
          <w:tcPr>
            <w:tcW w:w="240" w:type="dxa"/>
            <w:vMerge w:val="continue"/>
            <w:tcBorders/>
            <w:vAlign w:val="center"/>
          </w:tcPr>
          <w:p>
            <w:pPr>
              <w:pStyle w:val="Normal"/>
              <w:bidi w:val="0"/>
              <w:jc w:val="left"/>
              <w:rPr/>
            </w:pPr>
            <w:r>
              <w:rPr/>
            </w:r>
          </w:p>
        </w:tc>
        <w:tc>
          <w:tcPr>
            <w:tcW w:w="1370" w:type="dxa"/>
            <w:vMerge w:val="continue"/>
            <w:tcBorders/>
            <w:vAlign w:val="center"/>
          </w:tcPr>
          <w:p>
            <w:pPr>
              <w:pStyle w:val="Normal"/>
              <w:bidi w:val="0"/>
              <w:jc w:val="left"/>
              <w:rPr/>
            </w:pPr>
            <w:r>
              <w:rPr/>
            </w:r>
          </w:p>
        </w:tc>
        <w:tc>
          <w:tcPr>
            <w:tcW w:w="240" w:type="dxa"/>
            <w:vMerge w:val="continue"/>
            <w:tcBorders/>
            <w:vAlign w:val="center"/>
          </w:tcPr>
          <w:p>
            <w:pPr>
              <w:pStyle w:val="Normal"/>
              <w:bidi w:val="0"/>
              <w:jc w:val="left"/>
              <w:rPr/>
            </w:pPr>
            <w:r>
              <w:rPr/>
            </w:r>
          </w:p>
        </w:tc>
        <w:tc>
          <w:tcPr>
            <w:tcW w:w="2540"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95" w:type="dxa"/>
            <w:vMerge w:val="continue"/>
            <w:tcBorders/>
            <w:vAlign w:val="center"/>
          </w:tcPr>
          <w:p>
            <w:pPr>
              <w:pStyle w:val="Normal"/>
              <w:bidi w:val="0"/>
              <w:jc w:val="left"/>
              <w:rPr/>
            </w:pPr>
            <w:r>
              <w:rPr/>
            </w:r>
          </w:p>
        </w:tc>
        <w:tc>
          <w:tcPr>
            <w:tcW w:w="240" w:type="dxa"/>
            <w:vMerge w:val="continue"/>
            <w:tcBorders/>
            <w:vAlign w:val="center"/>
          </w:tcPr>
          <w:p>
            <w:pPr>
              <w:pStyle w:val="Normal"/>
              <w:bidi w:val="0"/>
              <w:jc w:val="left"/>
              <w:rPr/>
            </w:pPr>
            <w:r>
              <w:rPr/>
            </w:r>
          </w:p>
        </w:tc>
        <w:tc>
          <w:tcPr>
            <w:tcW w:w="1295" w:type="dxa"/>
            <w:vMerge w:val="continue"/>
            <w:tcBorders/>
            <w:vAlign w:val="center"/>
          </w:tcPr>
          <w:p>
            <w:pPr>
              <w:pStyle w:val="Normal"/>
              <w:bidi w:val="0"/>
              <w:jc w:val="left"/>
              <w:rPr/>
            </w:pPr>
            <w:r>
              <w:rPr/>
            </w:r>
          </w:p>
        </w:tc>
        <w:tc>
          <w:tcPr>
            <w:tcW w:w="240" w:type="dxa"/>
            <w:vMerge w:val="continue"/>
            <w:tcBorders/>
            <w:vAlign w:val="center"/>
          </w:tcPr>
          <w:p>
            <w:pPr>
              <w:pStyle w:val="Normal"/>
              <w:bidi w:val="0"/>
              <w:jc w:val="left"/>
              <w:rPr/>
            </w:pPr>
            <w:r>
              <w:rPr/>
            </w:r>
          </w:p>
        </w:tc>
        <w:tc>
          <w:tcPr>
            <w:tcW w:w="1370" w:type="dxa"/>
            <w:vMerge w:val="continue"/>
            <w:tcBorders/>
            <w:vAlign w:val="center"/>
          </w:tcPr>
          <w:p>
            <w:pPr>
              <w:pStyle w:val="Normal"/>
              <w:bidi w:val="0"/>
              <w:jc w:val="left"/>
              <w:rPr/>
            </w:pPr>
            <w:r>
              <w:rPr/>
            </w:r>
          </w:p>
        </w:tc>
        <w:tc>
          <w:tcPr>
            <w:tcW w:w="240" w:type="dxa"/>
            <w:vMerge w:val="continue"/>
            <w:tcBorders/>
            <w:vAlign w:val="center"/>
          </w:tcPr>
          <w:p>
            <w:pPr>
              <w:pStyle w:val="Normal"/>
              <w:bidi w:val="0"/>
              <w:jc w:val="left"/>
              <w:rPr/>
            </w:pPr>
            <w:r>
              <w:rPr/>
            </w:r>
          </w:p>
        </w:tc>
        <w:tc>
          <w:tcPr>
            <w:tcW w:w="2540"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95" w:type="dxa"/>
            <w:tcBorders>
              <w:top w:val="single" w:sz="12" w:space="0" w:color="1070B8"/>
            </w:tcBorders>
            <w:shd w:fill="D5DBE3" w:val="clear"/>
            <w:tcMar>
              <w:top w:w="28" w:type="dxa"/>
            </w:tcMar>
            <w:vAlign w:val="center"/>
          </w:tcPr>
          <w:p>
            <w:pPr>
              <w:pStyle w:val="TableContents"/>
              <w:bidi w:val="0"/>
              <w:spacing w:before="0" w:after="283"/>
              <w:jc w:val="left"/>
              <w:rPr/>
            </w:pPr>
            <w:r>
              <w:rPr/>
              <w:t> </w:t>
            </w:r>
          </w:p>
        </w:tc>
        <w:tc>
          <w:tcPr>
            <w:tcW w:w="1535"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1610"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2780"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00" w:before="0" w:after="0"/>
              <w:jc w:val="left"/>
              <w:rPr/>
            </w:pPr>
            <w:r>
              <w:rPr/>
              <w:t> </w:t>
            </w:r>
            <w:r>
              <w:rPr>
                <w:rFonts w:ascii="arial" w:hAnsi="arial"/>
                <w:sz w:val="20"/>
              </w:rPr>
              <w:t>Jeffrey W. Edwards</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5"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1,300,000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1,247,480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54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23.3</w:t>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00" w:before="0" w:after="0"/>
              <w:jc w:val="left"/>
              <w:rPr/>
            </w:pPr>
            <w:r>
              <w:rPr/>
              <w:t> </w:t>
            </w:r>
            <w:r>
              <w:rPr>
                <w:rFonts w:ascii="arial" w:hAnsi="arial"/>
                <w:sz w:val="20"/>
              </w:rPr>
              <w:t>Michael T. Miller</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5"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475,000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455,810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54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23.7</w:t>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00" w:before="0" w:after="0"/>
              <w:jc w:val="left"/>
              <w:rPr/>
            </w:pPr>
            <w:r>
              <w:rPr/>
              <w:t> </w:t>
            </w:r>
            <w:r>
              <w:rPr>
                <w:rFonts w:ascii="arial" w:hAnsi="arial"/>
                <w:sz w:val="20"/>
              </w:rPr>
              <w:t>Brad A. Wheeler</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5"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450,000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431,820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54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25.2</w:t>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00" w:before="0" w:after="0"/>
              <w:jc w:val="left"/>
              <w:rPr/>
            </w:pPr>
            <w:r>
              <w:rPr/>
              <w:t> </w:t>
            </w:r>
            <w:r>
              <w:rPr>
                <w:rFonts w:ascii="arial" w:hAnsi="arial"/>
                <w:sz w:val="20"/>
              </w:rPr>
              <w:t>W. Jeffrey Hire</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5"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225,000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215,910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54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24.4</w:t>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shd w:fill="D5DBE3" w:val="clear"/>
            <w:tcMar>
              <w:bottom w:w="28" w:type="dxa"/>
            </w:tcMar>
            <w:vAlign w:val="center"/>
          </w:tcPr>
          <w:p>
            <w:pPr>
              <w:pStyle w:val="TableContents"/>
              <w:bidi w:val="0"/>
              <w:spacing w:lineRule="atLeast" w:line="300" w:before="0" w:after="0"/>
              <w:jc w:val="left"/>
              <w:rPr/>
            </w:pPr>
            <w:r>
              <w:rPr/>
              <w:t> </w:t>
            </w:r>
            <w:r>
              <w:rPr>
                <w:rFonts w:ascii="arial" w:hAnsi="arial"/>
                <w:sz w:val="20"/>
              </w:rPr>
              <w:t>Jason R. Niswonger</w:t>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95" w:type="dxa"/>
            <w:tcBorders>
              <w:bottom w:val="single" w:sz="12" w:space="0" w:color="1070B8"/>
            </w:tcBorders>
            <w:tcMar>
              <w:bottom w:w="28" w:type="dxa"/>
            </w:tcMar>
            <w:vAlign w:val="center"/>
          </w:tcPr>
          <w:p>
            <w:pPr>
              <w:pStyle w:val="TableContents"/>
              <w:bidi w:val="0"/>
              <w:spacing w:lineRule="atLeast" w:line="300" w:before="0" w:after="0"/>
              <w:jc w:val="center"/>
              <w:rPr/>
            </w:pPr>
            <w:r>
              <w:rPr/>
              <w:t>  </w:t>
            </w:r>
            <w:r>
              <w:rPr>
                <w:rFonts w:ascii="arial" w:hAnsi="arial"/>
                <w:sz w:val="20"/>
              </w:rPr>
              <w:t>290,000</w:t>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1370" w:type="dxa"/>
            <w:tcBorders>
              <w:bottom w:val="single" w:sz="12" w:space="0" w:color="1070B8"/>
            </w:tcBorders>
            <w:tcMar>
              <w:bottom w:w="28" w:type="dxa"/>
            </w:tcMar>
            <w:vAlign w:val="center"/>
          </w:tcPr>
          <w:p>
            <w:pPr>
              <w:pStyle w:val="TableContents"/>
              <w:bidi w:val="0"/>
              <w:spacing w:lineRule="atLeast" w:line="300" w:before="0" w:after="0"/>
              <w:jc w:val="center"/>
              <w:rPr/>
            </w:pPr>
            <w:r>
              <w:rPr/>
              <w:t>  </w:t>
            </w:r>
            <w:r>
              <w:rPr>
                <w:rFonts w:ascii="arial" w:hAnsi="arial"/>
                <w:sz w:val="20"/>
              </w:rPr>
              <w:t>278,284</w:t>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2540" w:type="dxa"/>
            <w:tcBorders>
              <w:bottom w:val="single" w:sz="12" w:space="0" w:color="1070B8"/>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24.4</w:t>
            </w:r>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sz w:val="20"/>
        </w:rPr>
      </w:pPr>
      <w:r>
        <w:rPr>
          <w:rFonts w:ascii="arial" w:hAnsi="arial"/>
          <w:sz w:val="20"/>
        </w:rPr>
        <w:t xml:space="preserve">The performance-based incentive cash awards earned by our NEOs for 2024 are included in the “Non-Equity Incentive Plan Compensation” column of the </w:t>
      </w:r>
      <w:r>
        <w:rPr>
          <w:rFonts w:ascii="arial" w:hAnsi="arial"/>
          <w:i/>
          <w:sz w:val="20"/>
        </w:rPr>
        <w:t>Summary Compensation Table</w:t>
      </w:r>
      <w:r>
        <w:rPr>
          <w:rFonts w:ascii="arial" w:hAnsi="arial"/>
          <w:sz w:val="20"/>
        </w:rPr>
        <w:t xml:space="preserve"> below. </w:t>
      </w:r>
    </w:p>
    <w:p>
      <w:pPr>
        <w:pStyle w:val="TextBody"/>
        <w:bidi w:val="0"/>
        <w:spacing w:before="240" w:after="0"/>
        <w:jc w:val="left"/>
        <w:rPr>
          <w:rFonts w:ascii="arial" w:hAnsi="arial"/>
          <w:color w:val="1070B8"/>
          <w:sz w:val="22"/>
        </w:rPr>
      </w:pPr>
      <w:bookmarkStart w:id="87" w:name="txc849638_24"/>
      <w:bookmarkEnd w:id="87"/>
      <w:r>
        <w:rPr>
          <w:rFonts w:ascii="arial" w:hAnsi="arial"/>
          <w:color w:val="1070B8"/>
          <w:sz w:val="22"/>
        </w:rPr>
        <w:t xml:space="preserve">2024 Performance-Based Incentive Equity Awards </w:t>
      </w:r>
    </w:p>
    <w:p>
      <w:pPr>
        <w:pStyle w:val="TextBody"/>
        <w:bidi w:val="0"/>
        <w:spacing w:before="240" w:after="0"/>
        <w:jc w:val="left"/>
        <w:rPr>
          <w:rFonts w:ascii="arial" w:hAnsi="arial"/>
          <w:sz w:val="20"/>
        </w:rPr>
      </w:pPr>
      <w:r>
        <w:rPr>
          <w:rFonts w:ascii="arial" w:hAnsi="arial"/>
          <w:sz w:val="20"/>
        </w:rPr>
        <w:t>In February 2024, the CHC Committee met to consider and finalize the performance metric for our 2024 performance-based incentive equity awards. The committee determined, for the reasons outlined in “</w:t>
      </w:r>
      <w:r>
        <w:rPr>
          <w:rFonts w:ascii="arial" w:hAnsi="arial"/>
          <w:i/>
          <w:sz w:val="20"/>
        </w:rPr>
        <w:t>Section</w:t>
      </w:r>
      <w:r>
        <w:rPr>
          <w:rFonts w:ascii="arial" w:hAnsi="arial"/>
          <w:sz w:val="20"/>
        </w:rPr>
        <w:t> </w:t>
      </w:r>
      <w:r>
        <w:rPr>
          <w:rFonts w:ascii="arial" w:hAnsi="arial"/>
          <w:i/>
          <w:sz w:val="20"/>
        </w:rPr>
        <w:t>3 – Elements of Our Compensation Program – Performance-Based Cash Incentives</w:t>
      </w:r>
      <w:r>
        <w:rPr>
          <w:rFonts w:ascii="arial" w:hAnsi="arial"/>
          <w:sz w:val="20"/>
        </w:rPr>
        <w:t xml:space="preserve">” above, to use a one-year performance metric of Adjusted EBITDA. The target chosen by the CHC Committee for the incentive equity award program was the same as that chosen for the incentive cash award program. In order to achieve a balance between setting an annual performance metric and its desire to align the interests of our NEOs with the long-term interests of our stockholders, the CHC Committee adds a time-vesting component to the performance-based equity awards. The performance-based restricted stock awards actually earned by an executive may be above or below the target award, based on the degree to which the performance metric is met. Similar to performance-based cash awards, no equity award would be earned if the Company’s actual Adjusted EBITDA during 2024 was less than 50% of the target, as adjusted for acquisitions, and awards were capped at 200% of target. Target awards are based on a number of shares rather than a dollar amount, so that the potential value of the award fluctuates with the price of our common stock during both the performance period, the vesting period and thereafter, aligning executive compensation with stockholder value.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February 2025, the CHC Committee met to review the results of the Company’s financial performance against the target performance metric. Consistent with the incentive cash award program, the Company’s final Adjusted EBITDA target, as adjusted for the impact of acquisitions during the year, was $532.9 million. Actual Adjusted EBITDA was $511.4 million, or approximately 95.96% of target. Due to the decline in the price of our common stock between the grant date ($205.96) and the date upon which the award was earned ($170.99), the value of the NEOs equity awards correspondingly decreased in alignment with stockholder value. </w:t>
      </w:r>
    </w:p>
    <w:p>
      <w:pPr>
        <w:pStyle w:val="TextBody"/>
        <w:bidi w:val="0"/>
        <w:spacing w:before="240" w:after="0"/>
        <w:jc w:val="left"/>
        <w:rPr>
          <w:rFonts w:ascii="arial" w:hAnsi="arial"/>
          <w:sz w:val="20"/>
        </w:rPr>
      </w:pPr>
      <w:r>
        <w:rPr>
          <w:rFonts w:ascii="arial" w:hAnsi="arial"/>
          <w:sz w:val="20"/>
        </w:rPr>
        <w:t xml:space="preserve">The following table reflects each NEO’s 2024 target incentive restricted stock award, earned incentive restricted stock award and the fair value of the awards at the grant date and the date upon which the award was earned. </w:t>
      </w:r>
    </w:p>
    <w:p>
      <w:pPr>
        <w:pStyle w:val="TextBody"/>
        <w:bidi w:val="0"/>
        <w:spacing w:before="0" w:after="0"/>
        <w:jc w:val="left"/>
        <w:rPr/>
      </w:pPr>
      <w:r>
        <w:rPr/>
        <w:t> </w:t>
      </w:r>
    </w:p>
    <w:tbl>
      <w:tblPr>
        <w:tblW w:w="8883" w:type="dxa"/>
        <w:jc w:val="left"/>
        <w:tblInd w:w="0" w:type="dxa"/>
        <w:tblLayout w:type="fixed"/>
        <w:tblCellMar>
          <w:top w:w="0" w:type="dxa"/>
          <w:left w:w="0" w:type="dxa"/>
          <w:bottom w:w="0" w:type="dxa"/>
          <w:right w:w="0" w:type="dxa"/>
        </w:tblCellMar>
      </w:tblPr>
      <w:tblGrid>
        <w:gridCol w:w="1895"/>
        <w:gridCol w:w="120"/>
        <w:gridCol w:w="950"/>
        <w:gridCol w:w="120"/>
        <w:gridCol w:w="2180"/>
        <w:gridCol w:w="120"/>
        <w:gridCol w:w="1670"/>
        <w:gridCol w:w="120"/>
        <w:gridCol w:w="1670"/>
        <w:gridCol w:w="38"/>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895" w:type="dxa"/>
            <w:vMerge w:val="restart"/>
            <w:tcBorders/>
            <w:vAlign w:val="center"/>
          </w:tcPr>
          <w:p>
            <w:pPr>
              <w:pStyle w:val="TableContents"/>
              <w:bidi w:val="0"/>
              <w:spacing w:before="0" w:after="283"/>
              <w:jc w:val="left"/>
              <w:rPr>
                <w:b/>
                <w:color w:val="1F295C"/>
              </w:rPr>
            </w:pPr>
            <w:r>
              <w:rPr>
                <w:b/>
                <w:color w:val="1F295C"/>
              </w:rPr>
              <w:t>Name</w:t>
            </w:r>
          </w:p>
        </w:tc>
        <w:tc>
          <w:tcPr>
            <w:tcW w:w="120" w:type="dxa"/>
            <w:vMerge w:val="restart"/>
            <w:tcBorders/>
            <w:vAlign w:val="center"/>
          </w:tcPr>
          <w:p>
            <w:pPr>
              <w:pStyle w:val="TableContents"/>
              <w:bidi w:val="0"/>
              <w:spacing w:before="0" w:after="283"/>
              <w:jc w:val="left"/>
              <w:rPr/>
            </w:pPr>
            <w:r>
              <w:rPr/>
              <w:t>  </w:t>
            </w:r>
          </w:p>
        </w:tc>
        <w:tc>
          <w:tcPr>
            <w:tcW w:w="950" w:type="dxa"/>
            <w:vMerge w:val="restart"/>
            <w:tcBorders/>
            <w:vAlign w:val="center"/>
          </w:tcPr>
          <w:p>
            <w:pPr>
              <w:pStyle w:val="TableContents"/>
              <w:bidi w:val="0"/>
              <w:spacing w:before="0" w:after="0"/>
              <w:jc w:val="center"/>
              <w:rPr>
                <w:rFonts w:ascii="arial" w:hAnsi="arial"/>
                <w:b/>
                <w:color w:val="1F295C"/>
                <w:sz w:val="20"/>
              </w:rPr>
            </w:pPr>
            <w:r>
              <w:rPr>
                <w:rFonts w:ascii="arial" w:hAnsi="arial"/>
                <w:b/>
                <w:color w:val="1F295C"/>
                <w:sz w:val="20"/>
              </w:rPr>
              <w:t>2024</w:t>
              <w:br/>
              <w:t>Target</w:t>
              <w:br/>
              <w:t>Restricted</w:t>
              <w:br/>
              <w:t>Stock</w:t>
            </w:r>
          </w:p>
          <w:p>
            <w:pPr>
              <w:pStyle w:val="TableContents"/>
              <w:bidi w:val="0"/>
              <w:spacing w:before="0" w:after="20"/>
              <w:jc w:val="center"/>
              <w:rPr>
                <w:rFonts w:ascii="arial" w:hAnsi="arial"/>
                <w:b/>
                <w:color w:val="1F295C"/>
                <w:sz w:val="20"/>
              </w:rPr>
            </w:pPr>
            <w:r>
              <w:rPr>
                <w:rFonts w:ascii="arial" w:hAnsi="arial"/>
                <w:b/>
                <w:color w:val="1F295C"/>
                <w:sz w:val="20"/>
              </w:rPr>
              <w:t>(#)</w:t>
            </w:r>
          </w:p>
        </w:tc>
        <w:tc>
          <w:tcPr>
            <w:tcW w:w="120" w:type="dxa"/>
            <w:vMerge w:val="restart"/>
            <w:tcBorders/>
            <w:vAlign w:val="center"/>
          </w:tcPr>
          <w:p>
            <w:pPr>
              <w:pStyle w:val="TableContents"/>
              <w:bidi w:val="0"/>
              <w:spacing w:before="0" w:after="283"/>
              <w:jc w:val="left"/>
              <w:rPr/>
            </w:pPr>
            <w:r>
              <w:rPr/>
              <w:t>  </w:t>
            </w:r>
          </w:p>
        </w:tc>
        <w:tc>
          <w:tcPr>
            <w:tcW w:w="2180" w:type="dxa"/>
            <w:vMerge w:val="restart"/>
            <w:tcBorders/>
            <w:vAlign w:val="center"/>
          </w:tcPr>
          <w:p>
            <w:pPr>
              <w:pStyle w:val="TableContents"/>
              <w:bidi w:val="0"/>
              <w:spacing w:before="0" w:after="0"/>
              <w:jc w:val="center"/>
              <w:rPr>
                <w:rFonts w:ascii="arial" w:hAnsi="arial"/>
                <w:b/>
                <w:color w:val="1F295C"/>
                <w:sz w:val="20"/>
              </w:rPr>
            </w:pPr>
            <w:r>
              <w:rPr>
                <w:rFonts w:ascii="arial" w:hAnsi="arial"/>
                <w:b/>
                <w:color w:val="1F295C"/>
                <w:sz w:val="20"/>
              </w:rPr>
              <w:t>Target Restricted Stock</w:t>
              <w:br/>
              <w:t>Potential Payout Grant</w:t>
              <w:br/>
              <w:t>Date Fair Value</w:t>
            </w:r>
          </w:p>
          <w:p>
            <w:pPr>
              <w:pStyle w:val="TableContents"/>
              <w:bidi w:val="0"/>
              <w:spacing w:before="0" w:after="20"/>
              <w:jc w:val="center"/>
              <w:rPr>
                <w:rFonts w:ascii="arial" w:hAnsi="arial"/>
                <w:b/>
                <w:color w:val="1F295C"/>
                <w:sz w:val="20"/>
              </w:rPr>
            </w:pPr>
            <w:r>
              <w:rPr>
                <w:rFonts w:ascii="arial" w:hAnsi="arial"/>
                <w:b/>
                <w:color w:val="1F295C"/>
                <w:sz w:val="20"/>
              </w:rPr>
              <w:t>($)(1)</w:t>
            </w:r>
          </w:p>
        </w:tc>
        <w:tc>
          <w:tcPr>
            <w:tcW w:w="120" w:type="dxa"/>
            <w:vMerge w:val="restart"/>
            <w:tcBorders/>
            <w:vAlign w:val="center"/>
          </w:tcPr>
          <w:p>
            <w:pPr>
              <w:pStyle w:val="TableContents"/>
              <w:bidi w:val="0"/>
              <w:spacing w:before="0" w:after="283"/>
              <w:jc w:val="left"/>
              <w:rPr/>
            </w:pPr>
            <w:r>
              <w:rPr/>
              <w:t>  </w:t>
            </w:r>
          </w:p>
        </w:tc>
        <w:tc>
          <w:tcPr>
            <w:tcW w:w="1670" w:type="dxa"/>
            <w:vMerge w:val="restart"/>
            <w:tcBorders/>
            <w:vAlign w:val="center"/>
          </w:tcPr>
          <w:p>
            <w:pPr>
              <w:pStyle w:val="TableContents"/>
              <w:bidi w:val="0"/>
              <w:spacing w:before="0" w:after="0"/>
              <w:jc w:val="center"/>
              <w:rPr>
                <w:rFonts w:ascii="arial" w:hAnsi="arial"/>
                <w:b/>
                <w:color w:val="1F295C"/>
                <w:sz w:val="20"/>
              </w:rPr>
            </w:pPr>
            <w:r>
              <w:rPr>
                <w:rFonts w:ascii="arial" w:hAnsi="arial"/>
                <w:b/>
                <w:color w:val="1F295C"/>
                <w:sz w:val="20"/>
              </w:rPr>
              <w:t>Earned Restricted</w:t>
              <w:br/>
              <w:t>Stock</w:t>
            </w:r>
          </w:p>
          <w:p>
            <w:pPr>
              <w:pStyle w:val="TableContents"/>
              <w:bidi w:val="0"/>
              <w:spacing w:before="0" w:after="20"/>
              <w:jc w:val="center"/>
              <w:rPr>
                <w:rFonts w:ascii="arial" w:hAnsi="arial"/>
                <w:b/>
                <w:color w:val="1F295C"/>
                <w:sz w:val="20"/>
              </w:rPr>
            </w:pPr>
            <w:r>
              <w:rPr>
                <w:rFonts w:ascii="arial" w:hAnsi="arial"/>
                <w:b/>
                <w:color w:val="1F295C"/>
                <w:sz w:val="20"/>
              </w:rPr>
              <w:t>(#)</w:t>
            </w:r>
          </w:p>
        </w:tc>
        <w:tc>
          <w:tcPr>
            <w:tcW w:w="120" w:type="dxa"/>
            <w:vMerge w:val="restart"/>
            <w:tcBorders/>
            <w:vAlign w:val="center"/>
          </w:tcPr>
          <w:p>
            <w:pPr>
              <w:pStyle w:val="TableContents"/>
              <w:bidi w:val="0"/>
              <w:spacing w:before="0" w:after="283"/>
              <w:jc w:val="left"/>
              <w:rPr/>
            </w:pPr>
            <w:r>
              <w:rPr/>
              <w:t>  </w:t>
            </w:r>
          </w:p>
        </w:tc>
        <w:tc>
          <w:tcPr>
            <w:tcW w:w="1670" w:type="dxa"/>
            <w:vMerge w:val="restart"/>
            <w:tcBorders/>
            <w:vAlign w:val="center"/>
          </w:tcPr>
          <w:p>
            <w:pPr>
              <w:pStyle w:val="TableContents"/>
              <w:bidi w:val="0"/>
              <w:spacing w:before="0" w:after="0"/>
              <w:jc w:val="center"/>
              <w:rPr>
                <w:rFonts w:ascii="arial" w:hAnsi="arial"/>
                <w:b/>
                <w:color w:val="1F295C"/>
                <w:sz w:val="20"/>
              </w:rPr>
            </w:pPr>
            <w:r>
              <w:rPr>
                <w:rFonts w:ascii="arial" w:hAnsi="arial"/>
                <w:b/>
                <w:color w:val="1F295C"/>
                <w:sz w:val="20"/>
              </w:rPr>
              <w:t>Earned Restricted</w:t>
              <w:br/>
              <w:t>Stock</w:t>
            </w:r>
          </w:p>
          <w:p>
            <w:pPr>
              <w:pStyle w:val="TableContents"/>
              <w:bidi w:val="0"/>
              <w:spacing w:before="0" w:after="0"/>
              <w:jc w:val="center"/>
              <w:rPr>
                <w:rFonts w:ascii="arial" w:hAnsi="arial"/>
                <w:b/>
                <w:color w:val="1F295C"/>
                <w:sz w:val="20"/>
              </w:rPr>
            </w:pPr>
            <w:r>
              <w:rPr>
                <w:rFonts w:ascii="arial" w:hAnsi="arial"/>
                <w:b/>
                <w:color w:val="1F295C"/>
                <w:sz w:val="20"/>
              </w:rPr>
              <w:t>Payout Value</w:t>
            </w:r>
          </w:p>
          <w:p>
            <w:pPr>
              <w:pStyle w:val="TableContents"/>
              <w:bidi w:val="0"/>
              <w:spacing w:before="0" w:after="20"/>
              <w:jc w:val="center"/>
              <w:rPr>
                <w:rFonts w:ascii="arial" w:hAnsi="arial"/>
                <w:b/>
                <w:color w:val="1F295C"/>
                <w:sz w:val="20"/>
              </w:rPr>
            </w:pPr>
            <w:r>
              <w:rPr>
                <w:rFonts w:ascii="arial" w:hAnsi="arial"/>
                <w:b/>
                <w:color w:val="1F295C"/>
                <w:sz w:val="20"/>
              </w:rPr>
              <w:t>($)(2)</w:t>
            </w:r>
          </w:p>
        </w:tc>
        <w:tc>
          <w:tcPr>
            <w:tcW w:w="38" w:type="dxa"/>
            <w:tcBorders/>
          </w:tcPr>
          <w:p>
            <w:pPr>
              <w:pStyle w:val="TableContents"/>
              <w:bidi w:val="0"/>
              <w:spacing w:before="0" w:after="283"/>
              <w:jc w:val="left"/>
              <w:rPr>
                <w:sz w:val="4"/>
                <w:szCs w:val="4"/>
              </w:rPr>
            </w:pPr>
            <w:r>
              <w:rPr>
                <w:sz w:val="4"/>
                <w:szCs w:val="4"/>
              </w:rPr>
            </w:r>
          </w:p>
        </w:tc>
      </w:tr>
      <w:tr>
        <w:trPr/>
        <w:tc>
          <w:tcPr>
            <w:tcW w:w="189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218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7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70"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9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218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7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70"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9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218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7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70"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9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218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7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70"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9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218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7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70"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9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218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7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70"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9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218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7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70"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95" w:type="dxa"/>
            <w:tcBorders>
              <w:top w:val="single" w:sz="12" w:space="0" w:color="1070B8"/>
            </w:tcBorders>
            <w:shd w:fill="D5DBE3" w:val="clear"/>
            <w:tcMar>
              <w:top w:w="28" w:type="dxa"/>
            </w:tcMar>
            <w:vAlign w:val="center"/>
          </w:tcPr>
          <w:p>
            <w:pPr>
              <w:pStyle w:val="TableContents"/>
              <w:bidi w:val="0"/>
              <w:spacing w:before="0" w:after="283"/>
              <w:jc w:val="left"/>
              <w:rPr/>
            </w:pPr>
            <w:r>
              <w:rPr/>
              <w:t> </w:t>
            </w:r>
          </w:p>
        </w:tc>
        <w:tc>
          <w:tcPr>
            <w:tcW w:w="1070"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2300"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1790"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1790"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00" w:before="0" w:after="0"/>
              <w:jc w:val="left"/>
              <w:rPr/>
            </w:pPr>
            <w:r>
              <w:rPr/>
              <w:t> </w:t>
            </w:r>
            <w:r>
              <w:rPr>
                <w:rFonts w:ascii="arial" w:hAnsi="arial"/>
                <w:sz w:val="20"/>
              </w:rPr>
              <w:t>Jeffrey W. Edwards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5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19,421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3,999,949</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7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18,636</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7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3,186,637</w:t>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00" w:before="0" w:after="0"/>
              <w:jc w:val="left"/>
              <w:rPr/>
            </w:pPr>
            <w:r>
              <w:rPr/>
              <w:t> </w:t>
            </w:r>
            <w:r>
              <w:rPr>
                <w:rFonts w:ascii="arial" w:hAnsi="arial"/>
                <w:sz w:val="20"/>
              </w:rPr>
              <w:t>Michael T. Miller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50"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6,069</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1,249,971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70"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5,824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70"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995,814</w:t>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00" w:before="0" w:after="0"/>
              <w:jc w:val="left"/>
              <w:rPr/>
            </w:pPr>
            <w:r>
              <w:rPr/>
              <w:t> </w:t>
            </w:r>
            <w:r>
              <w:rPr>
                <w:rFonts w:ascii="arial" w:hAnsi="arial"/>
                <w:sz w:val="20"/>
              </w:rPr>
              <w:t>Brad A. Wheeler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50"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4,855</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999,936</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70"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4,659</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70"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796,618</w:t>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00" w:before="0" w:after="0"/>
              <w:jc w:val="left"/>
              <w:rPr/>
            </w:pPr>
            <w:r>
              <w:rPr/>
              <w:t> </w:t>
            </w:r>
            <w:r>
              <w:rPr>
                <w:rFonts w:ascii="arial" w:hAnsi="arial"/>
                <w:sz w:val="20"/>
              </w:rPr>
              <w:t>W. Jeffrey Hire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50"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1,335</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274,957</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70"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1,281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70" w:type="dxa"/>
            <w:tcBorders>
              <w:bottom w:val="single" w:sz="6" w:space="0" w:color="000000"/>
            </w:tcBorders>
            <w:tcMar>
              <w:bottom w:w="28" w:type="dxa"/>
            </w:tcMar>
            <w:vAlign w:val="center"/>
          </w:tcPr>
          <w:p>
            <w:pPr>
              <w:pStyle w:val="TableContents"/>
              <w:bidi w:val="0"/>
              <w:spacing w:lineRule="atLeast" w:line="300" w:before="0" w:after="0"/>
              <w:jc w:val="center"/>
              <w:rPr/>
            </w:pPr>
            <w:r>
              <w:rPr/>
              <w:t>  </w:t>
            </w:r>
            <w:r>
              <w:rPr>
                <w:rFonts w:ascii="arial" w:hAnsi="arial"/>
                <w:sz w:val="20"/>
              </w:rPr>
              <w:t>219,049</w:t>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shd w:fill="D5DBE3" w:val="clear"/>
            <w:tcMar>
              <w:bottom w:w="28" w:type="dxa"/>
            </w:tcMar>
            <w:vAlign w:val="center"/>
          </w:tcPr>
          <w:p>
            <w:pPr>
              <w:pStyle w:val="TableContents"/>
              <w:bidi w:val="0"/>
              <w:spacing w:lineRule="atLeast" w:line="300" w:before="0" w:after="0"/>
              <w:jc w:val="left"/>
              <w:rPr/>
            </w:pPr>
            <w:r>
              <w:rPr/>
              <w:t> </w:t>
            </w:r>
            <w:r>
              <w:rPr>
                <w:rFonts w:ascii="arial" w:hAnsi="arial"/>
                <w:sz w:val="20"/>
              </w:rPr>
              <w:t>Jason R. Niswonger</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950" w:type="dxa"/>
            <w:tcBorders>
              <w:bottom w:val="single" w:sz="12" w:space="0" w:color="1070B8"/>
            </w:tcBorders>
            <w:tcMar>
              <w:bottom w:w="28" w:type="dxa"/>
            </w:tcMar>
            <w:vAlign w:val="center"/>
          </w:tcPr>
          <w:p>
            <w:pPr>
              <w:pStyle w:val="TableContents"/>
              <w:bidi w:val="0"/>
              <w:spacing w:lineRule="atLeast" w:line="300" w:before="0" w:after="0"/>
              <w:jc w:val="center"/>
              <w:rPr/>
            </w:pPr>
            <w:r>
              <w:rPr/>
              <w:t> </w:t>
            </w:r>
            <w:r>
              <w:rPr>
                <w:rFonts w:ascii="arial" w:hAnsi="arial"/>
                <w:sz w:val="20"/>
              </w:rPr>
              <w:t>2,427</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2180" w:type="dxa"/>
            <w:tcBorders>
              <w:bottom w:val="single" w:sz="12" w:space="0" w:color="1070B8"/>
            </w:tcBorders>
            <w:tcMar>
              <w:bottom w:w="28" w:type="dxa"/>
            </w:tcMar>
            <w:vAlign w:val="center"/>
          </w:tcPr>
          <w:p>
            <w:pPr>
              <w:pStyle w:val="TableContents"/>
              <w:bidi w:val="0"/>
              <w:spacing w:lineRule="atLeast" w:line="300" w:before="0" w:after="0"/>
              <w:jc w:val="center"/>
              <w:rPr/>
            </w:pPr>
            <w:r>
              <w:rPr/>
              <w:t>  </w:t>
            </w:r>
            <w:r>
              <w:rPr>
                <w:rFonts w:ascii="arial" w:hAnsi="arial"/>
                <w:sz w:val="20"/>
              </w:rPr>
              <w:t>499,865</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670" w:type="dxa"/>
            <w:tcBorders>
              <w:bottom w:val="single" w:sz="12" w:space="0" w:color="1070B8"/>
            </w:tcBorders>
            <w:tcMar>
              <w:bottom w:w="28" w:type="dxa"/>
            </w:tcMar>
            <w:vAlign w:val="center"/>
          </w:tcPr>
          <w:p>
            <w:pPr>
              <w:pStyle w:val="TableContents"/>
              <w:bidi w:val="0"/>
              <w:spacing w:lineRule="atLeast" w:line="300" w:before="0" w:after="0"/>
              <w:jc w:val="center"/>
              <w:rPr/>
            </w:pPr>
            <w:r>
              <w:rPr/>
              <w:t> </w:t>
            </w:r>
            <w:r>
              <w:rPr>
                <w:rFonts w:ascii="arial" w:hAnsi="arial"/>
                <w:sz w:val="20"/>
              </w:rPr>
              <w:t>2,329</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670" w:type="dxa"/>
            <w:tcBorders>
              <w:bottom w:val="single" w:sz="12" w:space="0" w:color="1070B8"/>
            </w:tcBorders>
            <w:tcMar>
              <w:bottom w:w="28" w:type="dxa"/>
            </w:tcMar>
            <w:vAlign w:val="center"/>
          </w:tcPr>
          <w:p>
            <w:pPr>
              <w:pStyle w:val="TableContents"/>
              <w:bidi w:val="0"/>
              <w:spacing w:lineRule="atLeast" w:line="300" w:before="0" w:after="0"/>
              <w:jc w:val="center"/>
              <w:rPr/>
            </w:pPr>
            <w:r>
              <w:rPr/>
              <w:t>  </w:t>
            </w:r>
            <w:r>
              <w:rPr>
                <w:rFonts w:ascii="arial" w:hAnsi="arial"/>
                <w:sz w:val="20"/>
              </w:rPr>
              <w:t>398,227</w:t>
            </w:r>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(1)</w:t>
            </w:r>
          </w:p>
        </w:tc>
        <w:tc>
          <w:tcPr>
            <w:tcW w:w="9868" w:type="dxa"/>
            <w:tcBorders/>
            <w:vAlign w:val="center"/>
          </w:tcPr>
          <w:p>
            <w:pPr>
              <w:pStyle w:val="TableContents"/>
              <w:bidi w:val="0"/>
              <w:spacing w:before="0" w:after="0"/>
              <w:jc w:val="left"/>
              <w:rPr>
                <w:rFonts w:ascii="arial" w:hAnsi="arial"/>
                <w:sz w:val="20"/>
              </w:rPr>
            </w:pPr>
            <w:r>
              <w:rPr>
                <w:rFonts w:ascii="arial" w:hAnsi="arial"/>
                <w:sz w:val="20"/>
              </w:rPr>
              <w:t xml:space="preserve">The grant date fair value was determined by multiplying the closing price of the Company’s common stock on February 20, 2024 ($205.96) by the number of target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(2)</w:t>
            </w:r>
          </w:p>
        </w:tc>
        <w:tc>
          <w:tcPr>
            <w:tcW w:w="9899" w:type="dxa"/>
            <w:tcBorders/>
            <w:vAlign w:val="center"/>
          </w:tcPr>
          <w:p>
            <w:pPr>
              <w:pStyle w:val="TableContents"/>
              <w:bidi w:val="0"/>
              <w:spacing w:before="0" w:after="0"/>
              <w:jc w:val="left"/>
              <w:rPr>
                <w:rFonts w:ascii="arial" w:hAnsi="arial"/>
                <w:sz w:val="20"/>
              </w:rPr>
            </w:pPr>
            <w:r>
              <w:rPr>
                <w:rFonts w:ascii="arial" w:hAnsi="arial"/>
                <w:sz w:val="20"/>
              </w:rPr>
              <w:t xml:space="preserve">The earned fair value was determined by multiplying the closing price of the Company’s common stock on February 25, 2025 ($170.99) (the date of certification of the achievement of the performance metric) by the number of shares awarded. The restricted stock vests in equal installments over two years (subject to continued employment). The actual value on the vesting date will be based on the closing price of the Company’s common stock on that date. </w:t>
            </w:r>
          </w:p>
        </w:tc>
      </w:tr>
    </w:tbl>
    <w:p>
      <w:pPr>
        <w:pStyle w:val="TextBody"/>
        <w:bidi w:val="0"/>
        <w:spacing w:before="240" w:after="0"/>
        <w:jc w:val="left"/>
        <w:rPr>
          <w:rFonts w:ascii="arial" w:hAnsi="arial"/>
          <w:color w:val="1070B8"/>
          <w:sz w:val="22"/>
        </w:rPr>
      </w:pPr>
      <w:bookmarkStart w:id="88" w:name="txc849638_25"/>
      <w:bookmarkEnd w:id="88"/>
      <w:r>
        <w:rPr>
          <w:rFonts w:ascii="arial" w:hAnsi="arial"/>
          <w:color w:val="1070B8"/>
          <w:sz w:val="22"/>
        </w:rPr>
        <w:t xml:space="preserve">Compensation Changes after December 31, 2024 </w:t>
      </w:r>
    </w:p>
    <w:p>
      <w:pPr>
        <w:pStyle w:val="TextBody"/>
        <w:bidi w:val="0"/>
        <w:spacing w:before="240" w:after="0"/>
        <w:jc w:val="left"/>
        <w:rPr>
          <w:rFonts w:ascii="arial" w:hAnsi="arial"/>
          <w:sz w:val="20"/>
        </w:rPr>
      </w:pPr>
      <w:r>
        <w:rPr>
          <w:rFonts w:ascii="arial" w:hAnsi="arial"/>
          <w:i/>
          <w:sz w:val="20"/>
          <w:u w:val="single"/>
        </w:rPr>
        <w:t>Base Salary</w:t>
      </w:r>
      <w:r>
        <w:rPr>
          <w:rFonts w:ascii="arial" w:hAnsi="arial"/>
          <w:sz w:val="20"/>
        </w:rPr>
        <w:t xml:space="preserve">. For 2025, the CHC Committee determined not to adjust the base salaries of our NEOs to weight their compensation more heavily toward incentive equity compensation, with the objective of further aligning the compensation of our executives with stockholder value. </w:t>
      </w:r>
    </w:p>
    <w:p>
      <w:pPr>
        <w:pStyle w:val="TextBody"/>
        <w:bidi w:val="0"/>
        <w:spacing w:before="0" w:after="0"/>
        <w:jc w:val="left"/>
        <w:rPr/>
      </w:pPr>
      <w:r>
        <w:rPr/>
        <w:t> </w:t>
      </w:r>
    </w:p>
    <w:tbl>
      <w:tblPr>
        <w:tblW w:w="9470" w:type="dxa"/>
        <w:jc w:val="left"/>
        <w:tblInd w:w="0" w:type="dxa"/>
        <w:tblLayout w:type="fixed"/>
        <w:tblCellMar>
          <w:top w:w="0" w:type="dxa"/>
          <w:left w:w="0" w:type="dxa"/>
          <w:bottom w:w="0" w:type="dxa"/>
          <w:right w:w="0" w:type="dxa"/>
        </w:tblCellMar>
      </w:tblPr>
      <w:tblGrid>
        <w:gridCol w:w="1895"/>
        <w:gridCol w:w="240"/>
        <w:gridCol w:w="2280"/>
        <w:gridCol w:w="240"/>
        <w:gridCol w:w="2280"/>
        <w:gridCol w:w="240"/>
        <w:gridCol w:w="2295"/>
      </w:tblGrid>
      <w:tr>
        <w:trPr/>
        <w:tc>
          <w:tcPr>
            <w:tcW w:w="18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rFonts w:ascii="arial" w:hAnsi="arial"/>
                <w:b/>
                <w:color w:val="1F295C"/>
              </w:rPr>
            </w:pPr>
            <w:r>
              <w:rPr>
                <w:rFonts w:ascii="arial" w:hAnsi="arial"/>
                <w:b/>
                <w:color w:val="1F295C"/>
              </w:rPr>
              <w:t>Name</w:t>
            </w:r>
          </w:p>
        </w:tc>
        <w:tc>
          <w:tcPr>
            <w:tcW w:w="240" w:type="dxa"/>
            <w:tcBorders/>
            <w:vAlign w:val="center"/>
          </w:tcPr>
          <w:p>
            <w:pPr>
              <w:pStyle w:val="TableContents"/>
              <w:bidi w:val="0"/>
              <w:spacing w:before="0" w:after="283"/>
              <w:jc w:val="left"/>
              <w:rPr/>
            </w:pPr>
            <w:r>
              <w:rPr/>
              <w:t>    </w:t>
            </w:r>
          </w:p>
        </w:tc>
        <w:tc>
          <w:tcPr>
            <w:tcW w:w="2280" w:type="dxa"/>
            <w:tcBorders/>
            <w:vAlign w:val="center"/>
          </w:tcPr>
          <w:p>
            <w:pPr>
              <w:pStyle w:val="TableContents"/>
              <w:bidi w:val="0"/>
              <w:spacing w:before="0" w:after="283"/>
              <w:jc w:val="center"/>
              <w:rPr>
                <w:rFonts w:ascii="arial" w:hAnsi="arial"/>
                <w:b/>
                <w:color w:val="1F295C"/>
              </w:rPr>
            </w:pPr>
            <w:r>
              <w:rPr>
                <w:rFonts w:ascii="arial" w:hAnsi="arial"/>
                <w:b/>
                <w:color w:val="1F295C"/>
              </w:rPr>
              <w:t>2024 Base Salary</w:t>
              <w:br/>
              <w:t>($)</w:t>
            </w:r>
          </w:p>
        </w:tc>
        <w:tc>
          <w:tcPr>
            <w:tcW w:w="240" w:type="dxa"/>
            <w:tcBorders/>
            <w:vAlign w:val="center"/>
          </w:tcPr>
          <w:p>
            <w:pPr>
              <w:pStyle w:val="TableContents"/>
              <w:bidi w:val="0"/>
              <w:spacing w:before="0" w:after="283"/>
              <w:jc w:val="left"/>
              <w:rPr/>
            </w:pPr>
            <w:r>
              <w:rPr/>
              <w:t>    </w:t>
            </w:r>
          </w:p>
        </w:tc>
        <w:tc>
          <w:tcPr>
            <w:tcW w:w="2280" w:type="dxa"/>
            <w:tcBorders/>
            <w:vAlign w:val="center"/>
          </w:tcPr>
          <w:p>
            <w:pPr>
              <w:pStyle w:val="TableContents"/>
              <w:bidi w:val="0"/>
              <w:spacing w:before="0" w:after="283"/>
              <w:jc w:val="center"/>
              <w:rPr>
                <w:rFonts w:ascii="arial" w:hAnsi="arial"/>
                <w:b/>
                <w:color w:val="1F295C"/>
              </w:rPr>
            </w:pPr>
            <w:r>
              <w:rPr>
                <w:rFonts w:ascii="arial" w:hAnsi="arial"/>
                <w:b/>
                <w:color w:val="1F295C"/>
              </w:rPr>
              <w:t>2025 Base Salary</w:t>
              <w:br/>
              <w:t>($)</w:t>
            </w:r>
          </w:p>
        </w:tc>
        <w:tc>
          <w:tcPr>
            <w:tcW w:w="240" w:type="dxa"/>
            <w:tcBorders/>
            <w:vAlign w:val="center"/>
          </w:tcPr>
          <w:p>
            <w:pPr>
              <w:pStyle w:val="TableContents"/>
              <w:bidi w:val="0"/>
              <w:spacing w:before="0" w:after="283"/>
              <w:jc w:val="left"/>
              <w:rPr/>
            </w:pPr>
            <w:r>
              <w:rPr/>
              <w:t>    </w:t>
            </w:r>
          </w:p>
        </w:tc>
        <w:tc>
          <w:tcPr>
            <w:tcW w:w="2295" w:type="dxa"/>
            <w:tcBorders/>
            <w:vAlign w:val="center"/>
          </w:tcPr>
          <w:p>
            <w:pPr>
              <w:pStyle w:val="TableContents"/>
              <w:bidi w:val="0"/>
              <w:spacing w:before="0" w:after="0"/>
              <w:jc w:val="center"/>
              <w:rPr>
                <w:rFonts w:ascii="arial" w:hAnsi="arial"/>
                <w:b/>
                <w:color w:val="1F295C"/>
                <w:sz w:val="20"/>
              </w:rPr>
            </w:pPr>
            <w:r>
              <w:rPr>
                <w:rFonts w:ascii="arial" w:hAnsi="arial"/>
                <w:b/>
                <w:color w:val="1F295C"/>
                <w:sz w:val="20"/>
              </w:rPr>
              <w:t>Increase</w:t>
            </w:r>
          </w:p>
          <w:p>
            <w:pPr>
              <w:pStyle w:val="TableContents"/>
              <w:bidi w:val="0"/>
              <w:spacing w:before="0" w:after="20"/>
              <w:jc w:val="center"/>
              <w:rPr>
                <w:rFonts w:ascii="arial" w:hAnsi="arial"/>
                <w:b/>
                <w:color w:val="1F295C"/>
                <w:sz w:val="20"/>
              </w:rPr>
            </w:pPr>
            <w:r>
              <w:rPr>
                <w:rFonts w:ascii="arial" w:hAnsi="arial"/>
                <w:b/>
                <w:color w:val="1F295C"/>
                <w:sz w:val="20"/>
              </w:rPr>
              <w:t>(%)</w:t>
            </w:r>
          </w:p>
        </w:tc>
      </w:tr>
      <w:tr>
        <w:trPr/>
        <w:tc>
          <w:tcPr>
            <w:tcW w:w="1895" w:type="dxa"/>
            <w:tcBorders>
              <w:top w:val="single" w:sz="12" w:space="0" w:color="1070B8"/>
            </w:tcBorders>
            <w:shd w:fill="D5DBE3" w:val="clear"/>
            <w:tcMar>
              <w:top w:w="28" w:type="dxa"/>
            </w:tcMar>
            <w:vAlign w:val="center"/>
          </w:tcPr>
          <w:p>
            <w:pPr>
              <w:pStyle w:val="TableContents"/>
              <w:bidi w:val="0"/>
              <w:spacing w:before="0" w:after="283"/>
              <w:jc w:val="left"/>
              <w:rPr/>
            </w:pPr>
            <w:r>
              <w:rPr/>
              <w:t> </w:t>
            </w:r>
          </w:p>
        </w:tc>
        <w:tc>
          <w:tcPr>
            <w:tcW w:w="2520"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2520"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2535" w:type="dxa"/>
            <w:gridSpan w:val="2"/>
            <w:tcBorders>
              <w:top w:val="single" w:sz="12" w:space="0" w:color="1070B8"/>
            </w:tcBorders>
            <w:tcMar>
              <w:top w:w="28" w:type="dxa"/>
            </w:tcMar>
            <w:vAlign w:val="center"/>
          </w:tcPr>
          <w:p>
            <w:pPr>
              <w:pStyle w:val="TableContents"/>
              <w:bidi w:val="0"/>
              <w:spacing w:before="0" w:after="283"/>
              <w:jc w:val="left"/>
              <w:rPr/>
            </w:pPr>
            <w:r>
              <w:rPr/>
              <w:t> </w:t>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00" w:before="0" w:after="0"/>
              <w:jc w:val="left"/>
              <w:rPr/>
            </w:pPr>
            <w:r>
              <w:rPr/>
              <w:t> </w:t>
            </w:r>
            <w:r>
              <w:rPr>
                <w:rFonts w:ascii="arial" w:hAnsi="arial"/>
                <w:sz w:val="20"/>
              </w:rPr>
              <w:t>Jeffrey W. Edwards</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28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900,000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28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900,000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295" w:type="dxa"/>
            <w:tcBorders>
              <w:bottom w:val="single" w:sz="6" w:space="0" w:color="000000"/>
            </w:tcBorders>
            <w:tcMar>
              <w:bottom w:w="28" w:type="dxa"/>
            </w:tcMar>
            <w:vAlign w:val="center"/>
          </w:tcPr>
          <w:p>
            <w:pPr>
              <w:pStyle w:val="TableContents"/>
              <w:bidi w:val="0"/>
              <w:spacing w:lineRule="atLeast" w:line="300" w:before="0" w:after="0"/>
              <w:jc w:val="center"/>
              <w:rPr/>
            </w:pPr>
            <w:r>
              <w:rPr/>
              <w:t>–</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520" w:type="dxa"/>
            <w:gridSpan w:val="2"/>
            <w:tcBorders/>
            <w:vAlign w:val="center"/>
          </w:tcPr>
          <w:p>
            <w:pPr>
              <w:pStyle w:val="TableContents"/>
              <w:bidi w:val="0"/>
              <w:spacing w:before="0" w:after="283"/>
              <w:jc w:val="left"/>
              <w:rPr>
                <w:sz w:val="4"/>
                <w:szCs w:val="4"/>
              </w:rPr>
            </w:pPr>
            <w:r>
              <w:rPr>
                <w:sz w:val="4"/>
                <w:szCs w:val="4"/>
              </w:rPr>
            </w:r>
          </w:p>
        </w:tc>
        <w:tc>
          <w:tcPr>
            <w:tcW w:w="2520" w:type="dxa"/>
            <w:gridSpan w:val="2"/>
            <w:tcBorders/>
            <w:vAlign w:val="center"/>
          </w:tcPr>
          <w:p>
            <w:pPr>
              <w:pStyle w:val="TableContents"/>
              <w:bidi w:val="0"/>
              <w:spacing w:before="0" w:after="283"/>
              <w:jc w:val="left"/>
              <w:rPr>
                <w:sz w:val="4"/>
                <w:szCs w:val="4"/>
              </w:rPr>
            </w:pPr>
            <w:r>
              <w:rPr>
                <w:sz w:val="4"/>
                <w:szCs w:val="4"/>
              </w:rPr>
            </w:r>
          </w:p>
        </w:tc>
        <w:tc>
          <w:tcPr>
            <w:tcW w:w="253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00" w:before="0" w:after="0"/>
              <w:jc w:val="left"/>
              <w:rPr/>
            </w:pPr>
            <w:r>
              <w:rPr/>
              <w:t> </w:t>
            </w:r>
            <w:r>
              <w:rPr>
                <w:rFonts w:ascii="arial" w:hAnsi="arial"/>
                <w:sz w:val="20"/>
              </w:rPr>
              <w:t>Michael T. Miller</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28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475,000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28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475,000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295" w:type="dxa"/>
            <w:tcBorders>
              <w:bottom w:val="single" w:sz="6" w:space="0" w:color="000000"/>
            </w:tcBorders>
            <w:tcMar>
              <w:bottom w:w="28" w:type="dxa"/>
            </w:tcMar>
            <w:vAlign w:val="center"/>
          </w:tcPr>
          <w:p>
            <w:pPr>
              <w:pStyle w:val="TableContents"/>
              <w:bidi w:val="0"/>
              <w:spacing w:lineRule="atLeast" w:line="300" w:before="0" w:after="0"/>
              <w:jc w:val="center"/>
              <w:rPr/>
            </w:pPr>
            <w:r>
              <w:rPr/>
              <w:t>–</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520" w:type="dxa"/>
            <w:gridSpan w:val="2"/>
            <w:tcBorders/>
            <w:vAlign w:val="center"/>
          </w:tcPr>
          <w:p>
            <w:pPr>
              <w:pStyle w:val="TableContents"/>
              <w:bidi w:val="0"/>
              <w:spacing w:before="0" w:after="283"/>
              <w:jc w:val="left"/>
              <w:rPr>
                <w:sz w:val="4"/>
                <w:szCs w:val="4"/>
              </w:rPr>
            </w:pPr>
            <w:r>
              <w:rPr>
                <w:sz w:val="4"/>
                <w:szCs w:val="4"/>
              </w:rPr>
            </w:r>
          </w:p>
        </w:tc>
        <w:tc>
          <w:tcPr>
            <w:tcW w:w="2520" w:type="dxa"/>
            <w:gridSpan w:val="2"/>
            <w:tcBorders/>
            <w:vAlign w:val="center"/>
          </w:tcPr>
          <w:p>
            <w:pPr>
              <w:pStyle w:val="TableContents"/>
              <w:bidi w:val="0"/>
              <w:spacing w:before="0" w:after="283"/>
              <w:jc w:val="left"/>
              <w:rPr>
                <w:sz w:val="4"/>
                <w:szCs w:val="4"/>
              </w:rPr>
            </w:pPr>
            <w:r>
              <w:rPr>
                <w:sz w:val="4"/>
                <w:szCs w:val="4"/>
              </w:rPr>
            </w:r>
          </w:p>
        </w:tc>
        <w:tc>
          <w:tcPr>
            <w:tcW w:w="253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00" w:before="0" w:after="0"/>
              <w:jc w:val="left"/>
              <w:rPr/>
            </w:pPr>
            <w:r>
              <w:rPr/>
              <w:t> </w:t>
            </w:r>
            <w:r>
              <w:rPr>
                <w:rFonts w:ascii="arial" w:hAnsi="arial"/>
                <w:sz w:val="20"/>
              </w:rPr>
              <w:t>Brad A. Wheeler</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28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485,000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28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485,000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295" w:type="dxa"/>
            <w:tcBorders>
              <w:bottom w:val="single" w:sz="6" w:space="0" w:color="000000"/>
            </w:tcBorders>
            <w:tcMar>
              <w:bottom w:w="28" w:type="dxa"/>
            </w:tcMar>
            <w:vAlign w:val="center"/>
          </w:tcPr>
          <w:p>
            <w:pPr>
              <w:pStyle w:val="TableContents"/>
              <w:bidi w:val="0"/>
              <w:spacing w:lineRule="atLeast" w:line="300" w:before="0" w:after="0"/>
              <w:jc w:val="center"/>
              <w:rPr/>
            </w:pPr>
            <w:r>
              <w:rPr/>
              <w:t>–</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520" w:type="dxa"/>
            <w:gridSpan w:val="2"/>
            <w:tcBorders/>
            <w:vAlign w:val="center"/>
          </w:tcPr>
          <w:p>
            <w:pPr>
              <w:pStyle w:val="TableContents"/>
              <w:bidi w:val="0"/>
              <w:spacing w:before="0" w:after="283"/>
              <w:jc w:val="left"/>
              <w:rPr>
                <w:sz w:val="4"/>
                <w:szCs w:val="4"/>
              </w:rPr>
            </w:pPr>
            <w:r>
              <w:rPr>
                <w:sz w:val="4"/>
                <w:szCs w:val="4"/>
              </w:rPr>
            </w:r>
          </w:p>
        </w:tc>
        <w:tc>
          <w:tcPr>
            <w:tcW w:w="2520" w:type="dxa"/>
            <w:gridSpan w:val="2"/>
            <w:tcBorders/>
            <w:vAlign w:val="center"/>
          </w:tcPr>
          <w:p>
            <w:pPr>
              <w:pStyle w:val="TableContents"/>
              <w:bidi w:val="0"/>
              <w:spacing w:before="0" w:after="283"/>
              <w:jc w:val="left"/>
              <w:rPr>
                <w:sz w:val="4"/>
                <w:szCs w:val="4"/>
              </w:rPr>
            </w:pPr>
            <w:r>
              <w:rPr>
                <w:sz w:val="4"/>
                <w:szCs w:val="4"/>
              </w:rPr>
            </w:r>
          </w:p>
        </w:tc>
        <w:tc>
          <w:tcPr>
            <w:tcW w:w="253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00" w:before="0" w:after="0"/>
              <w:jc w:val="left"/>
              <w:rPr/>
            </w:pPr>
            <w:r>
              <w:rPr/>
              <w:t> </w:t>
            </w:r>
            <w:r>
              <w:rPr>
                <w:rFonts w:ascii="arial" w:hAnsi="arial"/>
                <w:sz w:val="20"/>
              </w:rPr>
              <w:t>W. Jeffrey Hire</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28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450,000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28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450,000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295" w:type="dxa"/>
            <w:tcBorders>
              <w:bottom w:val="single" w:sz="6" w:space="0" w:color="000000"/>
            </w:tcBorders>
            <w:tcMar>
              <w:bottom w:w="28" w:type="dxa"/>
            </w:tcMar>
            <w:vAlign w:val="center"/>
          </w:tcPr>
          <w:p>
            <w:pPr>
              <w:pStyle w:val="TableContents"/>
              <w:bidi w:val="0"/>
              <w:spacing w:lineRule="atLeast" w:line="300" w:before="0" w:after="0"/>
              <w:jc w:val="center"/>
              <w:rPr/>
            </w:pPr>
            <w:r>
              <w:rPr/>
              <w:t>–</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520" w:type="dxa"/>
            <w:gridSpan w:val="2"/>
            <w:tcBorders/>
            <w:vAlign w:val="center"/>
          </w:tcPr>
          <w:p>
            <w:pPr>
              <w:pStyle w:val="TableContents"/>
              <w:bidi w:val="0"/>
              <w:spacing w:before="0" w:after="283"/>
              <w:jc w:val="left"/>
              <w:rPr>
                <w:sz w:val="4"/>
                <w:szCs w:val="4"/>
              </w:rPr>
            </w:pPr>
            <w:r>
              <w:rPr>
                <w:sz w:val="4"/>
                <w:szCs w:val="4"/>
              </w:rPr>
            </w:r>
          </w:p>
        </w:tc>
        <w:tc>
          <w:tcPr>
            <w:tcW w:w="2520" w:type="dxa"/>
            <w:gridSpan w:val="2"/>
            <w:tcBorders/>
            <w:vAlign w:val="center"/>
          </w:tcPr>
          <w:p>
            <w:pPr>
              <w:pStyle w:val="TableContents"/>
              <w:bidi w:val="0"/>
              <w:spacing w:before="0" w:after="283"/>
              <w:jc w:val="left"/>
              <w:rPr>
                <w:sz w:val="4"/>
                <w:szCs w:val="4"/>
              </w:rPr>
            </w:pPr>
            <w:r>
              <w:rPr>
                <w:sz w:val="4"/>
                <w:szCs w:val="4"/>
              </w:rPr>
            </w:r>
          </w:p>
        </w:tc>
        <w:tc>
          <w:tcPr>
            <w:tcW w:w="253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shd w:fill="D5DBE3" w:val="clear"/>
            <w:tcMar>
              <w:bottom w:w="28" w:type="dxa"/>
            </w:tcMar>
            <w:vAlign w:val="center"/>
          </w:tcPr>
          <w:p>
            <w:pPr>
              <w:pStyle w:val="TableContents"/>
              <w:bidi w:val="0"/>
              <w:spacing w:lineRule="atLeast" w:line="300" w:before="0" w:after="0"/>
              <w:jc w:val="left"/>
              <w:rPr/>
            </w:pPr>
            <w:r>
              <w:rPr/>
              <w:t> </w:t>
            </w:r>
            <w:r>
              <w:rPr>
                <w:rFonts w:ascii="arial" w:hAnsi="arial"/>
                <w:sz w:val="20"/>
              </w:rPr>
              <w:t>Jason R. Niswonger</w:t>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2280" w:type="dxa"/>
            <w:tcBorders>
              <w:bottom w:val="single" w:sz="12" w:space="0" w:color="1070B8"/>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465,000</w:t>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2280" w:type="dxa"/>
            <w:tcBorders>
              <w:bottom w:val="single" w:sz="12" w:space="0" w:color="1070B8"/>
            </w:tcBorders>
            <w:tcMar>
              <w:bottom w:w="28" w:type="dxa"/>
            </w:tcMar>
            <w:vAlign w:val="center"/>
          </w:tcPr>
          <w:p>
            <w:pPr>
              <w:pStyle w:val="TableContents"/>
              <w:bidi w:val="0"/>
              <w:spacing w:lineRule="atLeast" w:line="300" w:before="0" w:after="0"/>
              <w:jc w:val="center"/>
              <w:rPr>
                <w:rFonts w:ascii="arial" w:hAnsi="arial"/>
                <w:sz w:val="20"/>
              </w:rPr>
            </w:pPr>
            <w:r>
              <w:rPr>
                <w:rFonts w:ascii="arial" w:hAnsi="arial"/>
                <w:sz w:val="20"/>
              </w:rPr>
              <w:t>465,000</w:t>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2295" w:type="dxa"/>
            <w:tcBorders>
              <w:bottom w:val="single" w:sz="12" w:space="0" w:color="1070B8"/>
            </w:tcBorders>
            <w:tcMar>
              <w:bottom w:w="28" w:type="dxa"/>
            </w:tcMar>
            <w:vAlign w:val="center"/>
          </w:tcPr>
          <w:p>
            <w:pPr>
              <w:pStyle w:val="TableContents"/>
              <w:bidi w:val="0"/>
              <w:spacing w:lineRule="atLeast" w:line="300" w:before="0" w:after="0"/>
              <w:jc w:val="center"/>
              <w:rPr/>
            </w:pPr>
            <w:r>
              <w:rPr/>
              <w:t>–</w:t>
            </w:r>
          </w:p>
        </w:tc>
      </w:tr>
    </w:tbl>
    <w:p>
      <w:pPr>
        <w:pStyle w:val="TextBody"/>
        <w:bidi w:val="0"/>
        <w:spacing w:before="240" w:after="0"/>
        <w:jc w:val="left"/>
        <w:rPr>
          <w:rFonts w:ascii="arial" w:hAnsi="arial"/>
          <w:sz w:val="20"/>
        </w:rPr>
      </w:pPr>
      <w:r>
        <w:rPr>
          <w:rFonts w:ascii="arial" w:hAnsi="arial"/>
          <w:i/>
          <w:sz w:val="20"/>
          <w:u w:val="single"/>
        </w:rPr>
        <w:t>Incentive Cash Compensation</w:t>
      </w:r>
      <w:r>
        <w:rPr>
          <w:rFonts w:ascii="arial" w:hAnsi="arial"/>
          <w:sz w:val="20"/>
        </w:rPr>
        <w:t xml:space="preserve">. The CHC Committee continued our performance-based incentive cash program for 2025 on substantially the same terms as the program approved by our stockholders in 2024. For all incentive-based compensation, the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threshold is 50% of target and the maximum is 200% of target. Similar to base salary, for 2025 CHC Committee determined not to adjust the incentive cash compensation targets of our NEOs to weight their compensation more heavily toward incentive equity compensation in an effort to further align the compensation of our executives with stockholder value. </w:t>
      </w:r>
    </w:p>
    <w:p>
      <w:pPr>
        <w:pStyle w:val="TextBody"/>
        <w:bidi w:val="0"/>
        <w:spacing w:before="0" w:after="0"/>
        <w:jc w:val="left"/>
        <w:rPr/>
      </w:pPr>
      <w:r>
        <w:rPr/>
        <w:t> </w:t>
      </w:r>
    </w:p>
    <w:tbl>
      <w:tblPr>
        <w:tblW w:w="6950" w:type="dxa"/>
        <w:jc w:val="left"/>
        <w:tblInd w:w="0" w:type="dxa"/>
        <w:tblLayout w:type="fixed"/>
        <w:tblCellMar>
          <w:top w:w="0" w:type="dxa"/>
          <w:left w:w="0" w:type="dxa"/>
          <w:bottom w:w="0" w:type="dxa"/>
          <w:right w:w="0" w:type="dxa"/>
        </w:tblCellMar>
      </w:tblPr>
      <w:tblGrid>
        <w:gridCol w:w="1895"/>
        <w:gridCol w:w="240"/>
        <w:gridCol w:w="1835"/>
        <w:gridCol w:w="240"/>
        <w:gridCol w:w="1610"/>
        <w:gridCol w:w="240"/>
        <w:gridCol w:w="890"/>
      </w:tblGrid>
      <w:tr>
        <w:trPr/>
        <w:tc>
          <w:tcPr>
            <w:tcW w:w="18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b/>
                <w:color w:val="1F295C"/>
              </w:rPr>
            </w:pPr>
            <w:r>
              <w:rPr>
                <w:b/>
                <w:color w:val="1F295C"/>
              </w:rPr>
              <w:t>Name</w:t>
            </w:r>
          </w:p>
        </w:tc>
        <w:tc>
          <w:tcPr>
            <w:tcW w:w="24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center"/>
              <w:rPr>
                <w:b/>
                <w:color w:val="1F295C"/>
              </w:rPr>
            </w:pPr>
            <w:r>
              <w:rPr>
                <w:b/>
                <w:color w:val="1F295C"/>
              </w:rPr>
              <w:t>2024 Target Cash</w:t>
              <w:br/>
              <w:t>Bonus</w:t>
              <w:br/>
              <w:t>($)</w:t>
            </w:r>
          </w:p>
        </w:tc>
        <w:tc>
          <w:tcPr>
            <w:tcW w:w="24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rFonts w:ascii="arial" w:hAnsi="arial"/>
                <w:b/>
                <w:color w:val="1F295C"/>
                <w:sz w:val="20"/>
              </w:rPr>
            </w:pPr>
            <w:r>
              <w:rPr>
                <w:rFonts w:ascii="arial" w:hAnsi="arial"/>
                <w:b/>
                <w:color w:val="1F295C"/>
                <w:sz w:val="20"/>
              </w:rPr>
              <w:t>2025 Target Cash</w:t>
            </w:r>
          </w:p>
          <w:p>
            <w:pPr>
              <w:pStyle w:val="TableContents"/>
              <w:bidi w:val="0"/>
              <w:spacing w:before="0" w:after="20"/>
              <w:jc w:val="center"/>
              <w:rPr>
                <w:rFonts w:ascii="arial" w:hAnsi="arial"/>
                <w:b/>
                <w:color w:val="1F295C"/>
                <w:sz w:val="20"/>
              </w:rPr>
            </w:pPr>
            <w:r>
              <w:rPr>
                <w:rFonts w:ascii="arial" w:hAnsi="arial"/>
                <w:b/>
                <w:color w:val="1F295C"/>
                <w:sz w:val="20"/>
              </w:rPr>
              <w:t>Bonus</w:t>
              <w:br/>
              <w:t>($)</w:t>
            </w:r>
          </w:p>
        </w:tc>
        <w:tc>
          <w:tcPr>
            <w:tcW w:w="24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b/>
                <w:color w:val="1F295C"/>
              </w:rPr>
            </w:pPr>
            <w:r>
              <w:rPr>
                <w:b/>
                <w:color w:val="1F295C"/>
              </w:rPr>
              <w:t>Increase</w:t>
              <w:br/>
              <w:t>(%)</w:t>
            </w:r>
          </w:p>
        </w:tc>
      </w:tr>
      <w:tr>
        <w:trPr/>
        <w:tc>
          <w:tcPr>
            <w:tcW w:w="1895" w:type="dxa"/>
            <w:tcBorders>
              <w:top w:val="single" w:sz="12" w:space="0" w:color="1070B8"/>
            </w:tcBorders>
            <w:shd w:fill="D5DBE3" w:val="clear"/>
            <w:tcMar>
              <w:top w:w="28" w:type="dxa"/>
            </w:tcMar>
            <w:vAlign w:val="center"/>
          </w:tcPr>
          <w:p>
            <w:pPr>
              <w:pStyle w:val="TableContents"/>
              <w:bidi w:val="0"/>
              <w:spacing w:before="0" w:after="283"/>
              <w:jc w:val="left"/>
              <w:rPr/>
            </w:pPr>
            <w:r>
              <w:rPr/>
              <w:t> </w:t>
            </w:r>
          </w:p>
        </w:tc>
        <w:tc>
          <w:tcPr>
            <w:tcW w:w="2075"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1850"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1130" w:type="dxa"/>
            <w:gridSpan w:val="2"/>
            <w:tcBorders>
              <w:top w:val="single" w:sz="12" w:space="0" w:color="1070B8"/>
            </w:tcBorders>
            <w:tcMar>
              <w:top w:w="28" w:type="dxa"/>
            </w:tcMar>
            <w:vAlign w:val="center"/>
          </w:tcPr>
          <w:p>
            <w:pPr>
              <w:pStyle w:val="TableContents"/>
              <w:bidi w:val="0"/>
              <w:spacing w:before="0" w:after="283"/>
              <w:jc w:val="left"/>
              <w:rPr/>
            </w:pPr>
            <w:r>
              <w:rPr/>
              <w:t> </w:t>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Jeffrey W. Edwards</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835"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1,300,000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610"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1,300,000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lineRule="atLeast" w:line="320" w:before="0" w:after="0"/>
              <w:jc w:val="center"/>
              <w:rPr/>
            </w:pPr>
            <w:r>
              <w:rPr/>
              <w:t>–</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Michael T. Miller</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835" w:type="dxa"/>
            <w:tcBorders>
              <w:bottom w:val="single" w:sz="6" w:space="0" w:color="000000"/>
            </w:tcBorders>
            <w:tcMar>
              <w:bottom w:w="28" w:type="dxa"/>
            </w:tcMar>
            <w:vAlign w:val="center"/>
          </w:tcPr>
          <w:p>
            <w:pPr>
              <w:pStyle w:val="TableContents"/>
              <w:bidi w:val="0"/>
              <w:spacing w:lineRule="atLeast" w:line="320" w:before="0" w:after="0"/>
              <w:jc w:val="center"/>
              <w:rPr/>
            </w:pPr>
            <w:r>
              <w:rPr/>
              <w:t>  </w:t>
            </w:r>
            <w:r>
              <w:rPr>
                <w:rFonts w:ascii="arial" w:hAnsi="arial"/>
                <w:sz w:val="20"/>
              </w:rPr>
              <w:t>475,000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610" w:type="dxa"/>
            <w:tcBorders>
              <w:bottom w:val="single" w:sz="6" w:space="0" w:color="000000"/>
            </w:tcBorders>
            <w:tcMar>
              <w:bottom w:w="28" w:type="dxa"/>
            </w:tcMar>
            <w:vAlign w:val="center"/>
          </w:tcPr>
          <w:p>
            <w:pPr>
              <w:pStyle w:val="TableContents"/>
              <w:bidi w:val="0"/>
              <w:spacing w:lineRule="atLeast" w:line="320" w:before="0" w:after="0"/>
              <w:jc w:val="center"/>
              <w:rPr/>
            </w:pPr>
            <w:r>
              <w:rPr/>
              <w:t>  </w:t>
            </w:r>
            <w:r>
              <w:rPr>
                <w:rFonts w:ascii="arial" w:hAnsi="arial"/>
                <w:sz w:val="20"/>
              </w:rPr>
              <w:t>475,000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lineRule="atLeast" w:line="320" w:before="0" w:after="0"/>
              <w:jc w:val="center"/>
              <w:rPr/>
            </w:pPr>
            <w:r>
              <w:rPr/>
              <w:t>–</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Brad A. Wheeler</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835" w:type="dxa"/>
            <w:tcBorders>
              <w:bottom w:val="single" w:sz="6" w:space="0" w:color="000000"/>
            </w:tcBorders>
            <w:tcMar>
              <w:bottom w:w="28" w:type="dxa"/>
            </w:tcMar>
            <w:vAlign w:val="center"/>
          </w:tcPr>
          <w:p>
            <w:pPr>
              <w:pStyle w:val="TableContents"/>
              <w:bidi w:val="0"/>
              <w:spacing w:lineRule="atLeast" w:line="320" w:before="0" w:after="0"/>
              <w:jc w:val="center"/>
              <w:rPr/>
            </w:pPr>
            <w:r>
              <w:rPr/>
              <w:t>  </w:t>
            </w:r>
            <w:r>
              <w:rPr>
                <w:rFonts w:ascii="arial" w:hAnsi="arial"/>
                <w:sz w:val="20"/>
              </w:rPr>
              <w:t>450,000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610" w:type="dxa"/>
            <w:tcBorders>
              <w:bottom w:val="single" w:sz="6" w:space="0" w:color="000000"/>
            </w:tcBorders>
            <w:tcMar>
              <w:bottom w:w="28" w:type="dxa"/>
            </w:tcMar>
            <w:vAlign w:val="center"/>
          </w:tcPr>
          <w:p>
            <w:pPr>
              <w:pStyle w:val="TableContents"/>
              <w:bidi w:val="0"/>
              <w:spacing w:lineRule="atLeast" w:line="320" w:before="0" w:after="0"/>
              <w:jc w:val="center"/>
              <w:rPr/>
            </w:pPr>
            <w:r>
              <w:rPr/>
              <w:t>  </w:t>
            </w:r>
            <w:r>
              <w:rPr>
                <w:rFonts w:ascii="arial" w:hAnsi="arial"/>
                <w:sz w:val="20"/>
              </w:rPr>
              <w:t>450,000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lineRule="atLeast" w:line="320" w:before="0" w:after="0"/>
              <w:jc w:val="center"/>
              <w:rPr/>
            </w:pPr>
            <w:r>
              <w:rPr/>
              <w:t>–</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W. Jeffrey Hire</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835" w:type="dxa"/>
            <w:tcBorders>
              <w:bottom w:val="single" w:sz="6" w:space="0" w:color="000000"/>
            </w:tcBorders>
            <w:tcMar>
              <w:bottom w:w="28" w:type="dxa"/>
            </w:tcMar>
            <w:vAlign w:val="center"/>
          </w:tcPr>
          <w:p>
            <w:pPr>
              <w:pStyle w:val="TableContents"/>
              <w:bidi w:val="0"/>
              <w:spacing w:lineRule="atLeast" w:line="320" w:before="0" w:after="0"/>
              <w:jc w:val="center"/>
              <w:rPr/>
            </w:pPr>
            <w:r>
              <w:rPr/>
              <w:t>  </w:t>
            </w:r>
            <w:r>
              <w:rPr>
                <w:rFonts w:ascii="arial" w:hAnsi="arial"/>
                <w:sz w:val="20"/>
              </w:rPr>
              <w:t>225,000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610" w:type="dxa"/>
            <w:tcBorders>
              <w:bottom w:val="single" w:sz="6" w:space="0" w:color="000000"/>
            </w:tcBorders>
            <w:tcMar>
              <w:bottom w:w="28" w:type="dxa"/>
            </w:tcMar>
            <w:vAlign w:val="center"/>
          </w:tcPr>
          <w:p>
            <w:pPr>
              <w:pStyle w:val="TableContents"/>
              <w:bidi w:val="0"/>
              <w:spacing w:lineRule="atLeast" w:line="320" w:before="0" w:after="0"/>
              <w:jc w:val="center"/>
              <w:rPr/>
            </w:pPr>
            <w:r>
              <w:rPr/>
              <w:t>  </w:t>
            </w:r>
            <w:r>
              <w:rPr>
                <w:rFonts w:ascii="arial" w:hAnsi="arial"/>
                <w:sz w:val="20"/>
              </w:rPr>
              <w:t>225,000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lineRule="atLeast" w:line="320" w:before="0" w:after="0"/>
              <w:jc w:val="center"/>
              <w:rPr/>
            </w:pPr>
            <w:r>
              <w:rPr/>
              <w:t>–</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Jason R. Niswonger</w:t>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1835" w:type="dxa"/>
            <w:tcBorders>
              <w:bottom w:val="single" w:sz="12" w:space="0" w:color="1070B8"/>
            </w:tcBorders>
            <w:tcMar>
              <w:bottom w:w="28" w:type="dxa"/>
            </w:tcMar>
            <w:vAlign w:val="center"/>
          </w:tcPr>
          <w:p>
            <w:pPr>
              <w:pStyle w:val="TableContents"/>
              <w:bidi w:val="0"/>
              <w:spacing w:lineRule="atLeast" w:line="320" w:before="0" w:after="0"/>
              <w:jc w:val="center"/>
              <w:rPr/>
            </w:pPr>
            <w:r>
              <w:rPr/>
              <w:t>  </w:t>
            </w:r>
            <w:r>
              <w:rPr>
                <w:rFonts w:ascii="arial" w:hAnsi="arial"/>
                <w:sz w:val="20"/>
              </w:rPr>
              <w:t>290,000</w:t>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1610" w:type="dxa"/>
            <w:tcBorders>
              <w:bottom w:val="single" w:sz="12" w:space="0" w:color="1070B8"/>
            </w:tcBorders>
            <w:tcMar>
              <w:bottom w:w="28" w:type="dxa"/>
            </w:tcMar>
            <w:vAlign w:val="center"/>
          </w:tcPr>
          <w:p>
            <w:pPr>
              <w:pStyle w:val="TableContents"/>
              <w:bidi w:val="0"/>
              <w:spacing w:lineRule="atLeast" w:line="320" w:before="0" w:after="0"/>
              <w:jc w:val="center"/>
              <w:rPr/>
            </w:pPr>
            <w:r>
              <w:rPr/>
              <w:t>  </w:t>
            </w:r>
            <w:r>
              <w:rPr>
                <w:rFonts w:ascii="arial" w:hAnsi="arial"/>
                <w:sz w:val="20"/>
              </w:rPr>
              <w:t>290,000</w:t>
            </w:r>
          </w:p>
        </w:tc>
        <w:tc>
          <w:tcPr>
            <w:tcW w:w="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890" w:type="dxa"/>
            <w:tcBorders>
              <w:bottom w:val="single" w:sz="12" w:space="0" w:color="1070B8"/>
            </w:tcBorders>
            <w:tcMar>
              <w:bottom w:w="28" w:type="dxa"/>
            </w:tcMar>
            <w:vAlign w:val="center"/>
          </w:tcPr>
          <w:p>
            <w:pPr>
              <w:pStyle w:val="TableContents"/>
              <w:bidi w:val="0"/>
              <w:spacing w:lineRule="atLeast" w:line="320" w:before="0" w:after="0"/>
              <w:jc w:val="center"/>
              <w:rPr/>
            </w:pPr>
            <w:r>
              <w:rPr/>
              <w:t>–</w:t>
            </w:r>
          </w:p>
        </w:tc>
      </w:tr>
    </w:tbl>
    <w:p>
      <w:pPr>
        <w:pStyle w:val="TextBody"/>
        <w:bidi w:val="0"/>
        <w:spacing w:before="240" w:after="0"/>
        <w:jc w:val="left"/>
        <w:rPr>
          <w:rFonts w:ascii="arial" w:hAnsi="arial"/>
          <w:sz w:val="20"/>
        </w:rPr>
      </w:pPr>
      <w:r>
        <w:rPr>
          <w:rFonts w:ascii="arial" w:hAnsi="arial"/>
          <w:i/>
          <w:sz w:val="20"/>
          <w:u w:val="single"/>
        </w:rPr>
        <w:t>Incentive Equity Compensation</w:t>
      </w:r>
      <w:r>
        <w:rPr>
          <w:rFonts w:ascii="arial" w:hAnsi="arial"/>
          <w:sz w:val="20"/>
        </w:rPr>
        <w:t>. For the reasons noted above, for 2025 the CHC Committee increased the target value of annual restricted stock awards for each NEO and added a five-year performance share award plan with new performance metrics for certain executives described in “</w:t>
      </w:r>
      <w:r>
        <w:rPr>
          <w:rFonts w:ascii="arial" w:hAnsi="arial"/>
          <w:i/>
          <w:sz w:val="20"/>
        </w:rPr>
        <w:t>Five Year Performance Share Award Plan”</w:t>
      </w:r>
      <w:r>
        <w:rPr>
          <w:rFonts w:ascii="arial" w:hAnsi="arial"/>
          <w:sz w:val="20"/>
        </w:rPr>
        <w:t xml:space="preserve"> below. </w:t>
      </w:r>
    </w:p>
    <w:p>
      <w:pPr>
        <w:pStyle w:val="TextBody"/>
        <w:bidi w:val="0"/>
        <w:spacing w:before="240" w:after="0"/>
        <w:jc w:val="left"/>
        <w:rPr>
          <w:rFonts w:ascii="arial" w:hAnsi="arial"/>
          <w:sz w:val="20"/>
        </w:rPr>
      </w:pPr>
      <w:r>
        <w:rPr>
          <w:rFonts w:ascii="arial" w:hAnsi="arial"/>
          <w:sz w:val="20"/>
        </w:rPr>
        <w:t>For the annual incentive awards, the CHC Committee determined that each NEO is eligible to receive the target number of shares of restricted stock set forth in the table below, based on the achievement of Adjusted EBITDA performance goals. The performance metric and terms of the equity awards are the same as those used for incentive cash awards. If restricted stock is earned, it will vest in two equal installments on April 20, 2027 and April 20, 2028, generally subject to the NEO’s continued employment on each vesting date. The restricted stock vests in full in the event of an NEO’s death. The CHC Committee has discretion to adjust any award, even if fully earned.</w:t>
      </w:r>
    </w:p>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1895"/>
        <w:gridCol w:w="120"/>
        <w:gridCol w:w="1685"/>
        <w:gridCol w:w="120"/>
        <w:gridCol w:w="1940"/>
        <w:gridCol w:w="120"/>
        <w:gridCol w:w="1535"/>
        <w:gridCol w:w="120"/>
        <w:gridCol w:w="1955"/>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b/>
                <w:color w:val="1F295C"/>
              </w:rPr>
            </w:pPr>
            <w:r>
              <w:rPr>
                <w:b/>
                <w:color w:val="1F295C"/>
              </w:rPr>
              <w:t>Name</w:t>
            </w:r>
          </w:p>
        </w:tc>
        <w:tc>
          <w:tcPr>
            <w:tcW w:w="12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b/>
                <w:color w:val="1F295C"/>
              </w:rPr>
            </w:pPr>
            <w:r>
              <w:rPr>
                <w:b/>
                <w:color w:val="1F295C"/>
              </w:rPr>
              <w:t>2024 Target</w:t>
              <w:br/>
              <w:t>Restricted Stock</w:t>
              <w:br/>
              <w:t>Target (#)</w:t>
            </w:r>
          </w:p>
        </w:tc>
        <w:tc>
          <w:tcPr>
            <w:tcW w:w="1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b/>
                <w:color w:val="1F295C"/>
              </w:rPr>
            </w:pPr>
            <w:r>
              <w:rPr>
                <w:b/>
                <w:color w:val="1F295C"/>
              </w:rPr>
              <w:t>2024 Target</w:t>
              <w:br/>
              <w:t>Restricted Stock</w:t>
              <w:br/>
              <w:t>Fair Market Value</w:t>
              <w:br/>
              <w:t>on Grant Date</w:t>
              <w:br/>
              <w:t>($)</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center"/>
              <w:rPr>
                <w:rFonts w:ascii="arial" w:hAnsi="arial"/>
                <w:b/>
                <w:color w:val="1F295C"/>
                <w:sz w:val="20"/>
              </w:rPr>
            </w:pPr>
            <w:r>
              <w:rPr>
                <w:rFonts w:ascii="arial" w:hAnsi="arial"/>
                <w:b/>
                <w:color w:val="1F295C"/>
                <w:sz w:val="20"/>
              </w:rPr>
              <w:t>2025 Target</w:t>
              <w:br/>
              <w:t>Restricted Stock</w:t>
              <w:br/>
              <w:t>Target</w:t>
            </w:r>
          </w:p>
          <w:p>
            <w:pPr>
              <w:pStyle w:val="TableContents"/>
              <w:bidi w:val="0"/>
              <w:spacing w:before="0" w:after="20"/>
              <w:jc w:val="center"/>
              <w:rPr>
                <w:rFonts w:ascii="arial" w:hAnsi="arial"/>
                <w:b/>
                <w:color w:val="1F295C"/>
                <w:sz w:val="20"/>
              </w:rPr>
            </w:pPr>
            <w:r>
              <w:rPr>
                <w:rFonts w:ascii="arial" w:hAnsi="arial"/>
                <w:b/>
                <w:color w:val="1F295C"/>
                <w:sz w:val="20"/>
              </w:rPr>
              <w:t>(#)</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b/>
                <w:color w:val="1F295C"/>
              </w:rPr>
            </w:pPr>
            <w:r>
              <w:rPr>
                <w:b/>
                <w:color w:val="1F295C"/>
              </w:rPr>
              <w:t>2025 Target</w:t>
              <w:br/>
              <w:t>Restricted Stock</w:t>
              <w:br/>
              <w:t>Fair Market Value</w:t>
              <w:br/>
              <w:t>on Grant Date</w:t>
              <w:br/>
              <w:t>($)(1)</w:t>
            </w:r>
          </w:p>
        </w:tc>
      </w:tr>
      <w:tr>
        <w:trPr/>
        <w:tc>
          <w:tcPr>
            <w:tcW w:w="1895" w:type="dxa"/>
            <w:tcBorders>
              <w:top w:val="single" w:sz="12" w:space="0" w:color="1070B8"/>
            </w:tcBorders>
            <w:shd w:fill="D5DBE3" w:val="clear"/>
            <w:tcMar>
              <w:top w:w="28" w:type="dxa"/>
            </w:tcMar>
            <w:vAlign w:val="center"/>
          </w:tcPr>
          <w:p>
            <w:pPr>
              <w:pStyle w:val="TableContents"/>
              <w:bidi w:val="0"/>
              <w:spacing w:before="0" w:after="283"/>
              <w:jc w:val="left"/>
              <w:rPr/>
            </w:pPr>
            <w:r>
              <w:rPr/>
              <w:t> </w:t>
            </w:r>
          </w:p>
        </w:tc>
        <w:tc>
          <w:tcPr>
            <w:tcW w:w="1805"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2060"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1655"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2075" w:type="dxa"/>
            <w:gridSpan w:val="2"/>
            <w:tcBorders>
              <w:top w:val="single" w:sz="12" w:space="0" w:color="1070B8"/>
            </w:tcBorders>
            <w:tcMar>
              <w:top w:w="28" w:type="dxa"/>
            </w:tcMar>
            <w:vAlign w:val="center"/>
          </w:tcPr>
          <w:p>
            <w:pPr>
              <w:pStyle w:val="TableContents"/>
              <w:bidi w:val="0"/>
              <w:spacing w:before="0" w:after="283"/>
              <w:jc w:val="left"/>
              <w:rPr/>
            </w:pPr>
            <w:r>
              <w:rPr/>
              <w:t> </w:t>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Jeffrey W. Edwards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85"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19,421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40"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3,999,949</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25,148</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55"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4,300,000</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Michael T. Miller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85" w:type="dxa"/>
            <w:tcBorders>
              <w:bottom w:val="single" w:sz="6" w:space="0" w:color="000000"/>
            </w:tcBorders>
            <w:tcMar>
              <w:bottom w:w="28" w:type="dxa"/>
            </w:tcMar>
            <w:vAlign w:val="center"/>
          </w:tcPr>
          <w:p>
            <w:pPr>
              <w:pStyle w:val="TableContents"/>
              <w:bidi w:val="0"/>
              <w:spacing w:lineRule="atLeast" w:line="320" w:before="0" w:after="0"/>
              <w:jc w:val="center"/>
              <w:rPr/>
            </w:pPr>
            <w:r>
              <w:rPr/>
              <w:t> </w:t>
            </w:r>
            <w:r>
              <w:rPr>
                <w:rFonts w:ascii="arial" w:hAnsi="arial"/>
                <w:sz w:val="20"/>
              </w:rPr>
              <w:t>6,069</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40"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1,249,971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lineRule="atLeast" w:line="320" w:before="0" w:after="0"/>
              <w:jc w:val="center"/>
              <w:rPr/>
            </w:pPr>
            <w:r>
              <w:rPr/>
              <w:t> </w:t>
            </w:r>
            <w:r>
              <w:rPr>
                <w:rFonts w:ascii="arial" w:hAnsi="arial"/>
                <w:sz w:val="20"/>
              </w:rPr>
              <w:t>7,954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55"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1,360,000</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Brad A. Wheeler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85" w:type="dxa"/>
            <w:tcBorders>
              <w:bottom w:val="single" w:sz="6" w:space="0" w:color="000000"/>
            </w:tcBorders>
            <w:tcMar>
              <w:bottom w:w="28" w:type="dxa"/>
            </w:tcMar>
            <w:vAlign w:val="center"/>
          </w:tcPr>
          <w:p>
            <w:pPr>
              <w:pStyle w:val="TableContents"/>
              <w:bidi w:val="0"/>
              <w:spacing w:lineRule="atLeast" w:line="320" w:before="0" w:after="0"/>
              <w:jc w:val="center"/>
              <w:rPr/>
            </w:pPr>
            <w:r>
              <w:rPr/>
              <w:t> </w:t>
            </w:r>
            <w:r>
              <w:rPr>
                <w:rFonts w:ascii="arial" w:hAnsi="arial"/>
                <w:sz w:val="20"/>
              </w:rPr>
              <w:t>4,855</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40" w:type="dxa"/>
            <w:tcBorders>
              <w:bottom w:val="single" w:sz="6" w:space="0" w:color="000000"/>
            </w:tcBorders>
            <w:tcMar>
              <w:bottom w:w="28" w:type="dxa"/>
            </w:tcMar>
            <w:vAlign w:val="center"/>
          </w:tcPr>
          <w:p>
            <w:pPr>
              <w:pStyle w:val="TableContents"/>
              <w:bidi w:val="0"/>
              <w:spacing w:lineRule="atLeast" w:line="320" w:before="0" w:after="0"/>
              <w:jc w:val="center"/>
              <w:rPr/>
            </w:pPr>
            <w:r>
              <w:rPr/>
              <w:t>  </w:t>
            </w:r>
            <w:r>
              <w:rPr>
                <w:rFonts w:ascii="arial" w:hAnsi="arial"/>
                <w:sz w:val="20"/>
              </w:rPr>
              <w:t>999,936</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lineRule="atLeast" w:line="320" w:before="0" w:after="0"/>
              <w:jc w:val="center"/>
              <w:rPr/>
            </w:pPr>
            <w:r>
              <w:rPr/>
              <w:t> </w:t>
            </w:r>
            <w:r>
              <w:rPr>
                <w:rFonts w:ascii="arial" w:hAnsi="arial"/>
                <w:sz w:val="20"/>
              </w:rPr>
              <w:t>6,433</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55"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1,100,000</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W. Jeffrey Hire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85" w:type="dxa"/>
            <w:tcBorders>
              <w:bottom w:val="single" w:sz="6" w:space="0" w:color="000000"/>
            </w:tcBorders>
            <w:tcMar>
              <w:bottom w:w="28" w:type="dxa"/>
            </w:tcMar>
            <w:vAlign w:val="center"/>
          </w:tcPr>
          <w:p>
            <w:pPr>
              <w:pStyle w:val="TableContents"/>
              <w:bidi w:val="0"/>
              <w:spacing w:lineRule="atLeast" w:line="320" w:before="0" w:after="0"/>
              <w:jc w:val="center"/>
              <w:rPr/>
            </w:pPr>
            <w:r>
              <w:rPr/>
              <w:t> </w:t>
            </w:r>
            <w:r>
              <w:rPr>
                <w:rFonts w:ascii="arial" w:hAnsi="arial"/>
                <w:sz w:val="20"/>
              </w:rPr>
              <w:t>1,335</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40" w:type="dxa"/>
            <w:tcBorders>
              <w:bottom w:val="single" w:sz="6" w:space="0" w:color="000000"/>
            </w:tcBorders>
            <w:tcMar>
              <w:bottom w:w="28" w:type="dxa"/>
            </w:tcMar>
            <w:vAlign w:val="center"/>
          </w:tcPr>
          <w:p>
            <w:pPr>
              <w:pStyle w:val="TableContents"/>
              <w:bidi w:val="0"/>
              <w:spacing w:lineRule="atLeast" w:line="320" w:before="0" w:after="0"/>
              <w:jc w:val="center"/>
              <w:rPr/>
            </w:pPr>
            <w:r>
              <w:rPr/>
              <w:t>  </w:t>
            </w:r>
            <w:r>
              <w:rPr>
                <w:rFonts w:ascii="arial" w:hAnsi="arial"/>
                <w:sz w:val="20"/>
              </w:rPr>
              <w:t>274,957</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lineRule="atLeast" w:line="320" w:before="0" w:after="0"/>
              <w:jc w:val="center"/>
              <w:rPr/>
            </w:pPr>
            <w:r>
              <w:rPr/>
              <w:t> </w:t>
            </w:r>
            <w:r>
              <w:rPr>
                <w:rFonts w:ascii="arial" w:hAnsi="arial"/>
                <w:sz w:val="20"/>
              </w:rPr>
              <w:t>1,901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55" w:type="dxa"/>
            <w:tcBorders>
              <w:bottom w:val="single" w:sz="6" w:space="0" w:color="000000"/>
            </w:tcBorders>
            <w:tcMar>
              <w:bottom w:w="28" w:type="dxa"/>
            </w:tcMar>
            <w:vAlign w:val="center"/>
          </w:tcPr>
          <w:p>
            <w:pPr>
              <w:pStyle w:val="TableContents"/>
              <w:bidi w:val="0"/>
              <w:spacing w:lineRule="atLeast" w:line="320" w:before="0" w:after="0"/>
              <w:jc w:val="center"/>
              <w:rPr/>
            </w:pPr>
            <w:r>
              <w:rPr/>
              <w:t>  </w:t>
            </w:r>
            <w:r>
              <w:rPr>
                <w:rFonts w:ascii="arial" w:hAnsi="arial"/>
                <w:sz w:val="20"/>
              </w:rPr>
              <w:t>325,000</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Jason R. Niswonger</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685" w:type="dxa"/>
            <w:tcBorders>
              <w:bottom w:val="single" w:sz="12" w:space="0" w:color="1070B8"/>
            </w:tcBorders>
            <w:tcMar>
              <w:bottom w:w="28" w:type="dxa"/>
            </w:tcMar>
            <w:vAlign w:val="center"/>
          </w:tcPr>
          <w:p>
            <w:pPr>
              <w:pStyle w:val="TableContents"/>
              <w:bidi w:val="0"/>
              <w:spacing w:lineRule="atLeast" w:line="320" w:before="0" w:after="0"/>
              <w:jc w:val="center"/>
              <w:rPr/>
            </w:pPr>
            <w:r>
              <w:rPr/>
              <w:t> </w:t>
            </w:r>
            <w:r>
              <w:rPr>
                <w:rFonts w:ascii="arial" w:hAnsi="arial"/>
                <w:sz w:val="20"/>
              </w:rPr>
              <w:t>2,427</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940" w:type="dxa"/>
            <w:tcBorders>
              <w:bottom w:val="single" w:sz="12" w:space="0" w:color="1070B8"/>
            </w:tcBorders>
            <w:tcMar>
              <w:bottom w:w="28" w:type="dxa"/>
            </w:tcMar>
            <w:vAlign w:val="center"/>
          </w:tcPr>
          <w:p>
            <w:pPr>
              <w:pStyle w:val="TableContents"/>
              <w:bidi w:val="0"/>
              <w:spacing w:lineRule="atLeast" w:line="320" w:before="0" w:after="0"/>
              <w:jc w:val="center"/>
              <w:rPr/>
            </w:pPr>
            <w:r>
              <w:rPr/>
              <w:t>  </w:t>
            </w:r>
            <w:r>
              <w:rPr>
                <w:rFonts w:ascii="arial" w:hAnsi="arial"/>
                <w:sz w:val="20"/>
              </w:rPr>
              <w:t>499,865</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535" w:type="dxa"/>
            <w:tcBorders>
              <w:bottom w:val="single" w:sz="12" w:space="0" w:color="1070B8"/>
            </w:tcBorders>
            <w:tcMar>
              <w:bottom w:w="28" w:type="dxa"/>
            </w:tcMar>
            <w:vAlign w:val="center"/>
          </w:tcPr>
          <w:p>
            <w:pPr>
              <w:pStyle w:val="TableContents"/>
              <w:bidi w:val="0"/>
              <w:spacing w:lineRule="atLeast" w:line="320" w:before="0" w:after="0"/>
              <w:jc w:val="center"/>
              <w:rPr/>
            </w:pPr>
            <w:r>
              <w:rPr/>
              <w:t> </w:t>
            </w:r>
            <w:r>
              <w:rPr>
                <w:rFonts w:ascii="arial" w:hAnsi="arial"/>
                <w:sz w:val="20"/>
              </w:rPr>
              <w:t>3,363</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955" w:type="dxa"/>
            <w:tcBorders>
              <w:bottom w:val="single" w:sz="12" w:space="0" w:color="1070B8"/>
            </w:tcBorders>
            <w:tcMar>
              <w:bottom w:w="28" w:type="dxa"/>
            </w:tcMar>
            <w:vAlign w:val="center"/>
          </w:tcPr>
          <w:p>
            <w:pPr>
              <w:pStyle w:val="TableContents"/>
              <w:bidi w:val="0"/>
              <w:spacing w:lineRule="atLeast" w:line="320" w:before="0" w:after="0"/>
              <w:jc w:val="center"/>
              <w:rPr/>
            </w:pPr>
            <w:r>
              <w:rPr/>
              <w:t>  </w:t>
            </w:r>
            <w:r>
              <w:rPr>
                <w:rFonts w:ascii="arial" w:hAnsi="arial"/>
                <w:sz w:val="20"/>
              </w:rPr>
              <w:t>575,000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(1)</w:t>
            </w:r>
          </w:p>
        </w:tc>
        <w:tc>
          <w:tcPr>
            <w:tcW w:w="9868" w:type="dxa"/>
            <w:tcBorders/>
            <w:vAlign w:val="center"/>
          </w:tcPr>
          <w:p>
            <w:pPr>
              <w:pStyle w:val="TableContents"/>
              <w:bidi w:val="0"/>
              <w:spacing w:before="0" w:after="0"/>
              <w:jc w:val="left"/>
              <w:rPr>
                <w:rFonts w:ascii="arial" w:hAnsi="arial"/>
                <w:sz w:val="20"/>
              </w:rPr>
            </w:pPr>
            <w:r>
              <w:rPr>
                <w:rFonts w:ascii="arial" w:hAnsi="arial"/>
                <w:sz w:val="20"/>
              </w:rPr>
              <w:t xml:space="preserve">The grant date fair value was determined by multiplying the closing price of the Company’s common stock on February 25, 2025 ($170.99) by the number of target shares. </w:t>
            </w:r>
          </w:p>
        </w:tc>
      </w:tr>
    </w:tbl>
    <w:p>
      <w:pPr>
        <w:pStyle w:val="TextBody"/>
        <w:bidi w:val="0"/>
        <w:spacing w:before="240" w:after="0"/>
        <w:jc w:val="left"/>
        <w:rPr>
          <w:rFonts w:ascii="arial" w:hAnsi="arial"/>
          <w:sz w:val="20"/>
        </w:rPr>
      </w:pPr>
      <w:r>
        <w:rPr>
          <w:rFonts w:ascii="arial" w:hAnsi="arial"/>
          <w:sz w:val="20"/>
        </w:rPr>
        <w:t xml:space="preserve">In addition to earned incentive equity awards for 2024, on February 25, 2025, the CHC Committee awarded Messrs. Wheeler and Niswonger 584 and 584 shares of restricted stock, respectively, for their strong individual performance in 2024. The restricted shares vest in their entirety on April 20, 2028. </w:t>
      </w:r>
    </w:p>
    <w:p>
      <w:pPr>
        <w:pStyle w:val="TextBody"/>
        <w:bidi w:val="0"/>
        <w:spacing w:before="240" w:after="0"/>
        <w:jc w:val="left"/>
        <w:rPr>
          <w:rFonts w:ascii="arial" w:hAnsi="arial"/>
          <w:sz w:val="20"/>
        </w:rPr>
      </w:pPr>
      <w:r>
        <w:rPr>
          <w:rFonts w:ascii="arial" w:hAnsi="arial"/>
          <w:i/>
          <w:sz w:val="20"/>
          <w:u w:val="single"/>
        </w:rPr>
        <w:t>Five Year Performance Share Award Plan.</w:t>
      </w:r>
      <w:r>
        <w:rPr>
          <w:rFonts w:ascii="arial" w:hAnsi="arial"/>
          <w:sz w:val="20"/>
        </w:rPr>
        <w:t xml:space="preserve"> The new Five Year Performance Share Award Plan has two components. </w:t>
      </w:r>
    </w:p>
    <w:p>
      <w:pPr>
        <w:pStyle w:val="TextBody"/>
        <w:bidi w:val="0"/>
        <w:spacing w:before="240" w:after="0"/>
        <w:jc w:val="left"/>
        <w:rPr>
          <w:rFonts w:ascii="arial" w:hAnsi="arial"/>
          <w:sz w:val="20"/>
        </w:rPr>
      </w:pPr>
      <w:r>
        <w:rPr>
          <w:rFonts w:ascii="arial" w:hAnsi="arial"/>
          <w:sz w:val="20"/>
        </w:rPr>
        <w:t xml:space="preserve">Component 1 is a one time award of restricted stock that will be earned no later than the end of the five year performance period (2025-2029) if the five year performance metrics are met. The performance metrics for Component 1 are a revenue target and an Adjusted EBITDA target. One half of the total target share award of $500,000 per participant is assigned to each performance metric. The shares for each target will be earned if the respective target is met at least 90%, without proration. Additional shares will not be awarded if the targets are exceeded.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Component 2 is an annual award of restricted stock each year for five years that will be earned if the annual performance metric is met. The performance metric for Component 2 is a target adjusted general and administrative expense as a percentage of revenue, to be set by the CHC Committee each year for five years. The annual award is targeted at $150,000 per year, earned if the target does not exceed 105%, without proration. Additional shares will not be awarded if the target is exceeded. The number of shares of restricted stock earned will be determined annually, but the shares earned will not vest until April 20, 2030. </w:t>
      </w:r>
    </w:p>
    <w:p>
      <w:pPr>
        <w:pStyle w:val="TextBody"/>
        <w:bidi w:val="0"/>
        <w:spacing w:before="240" w:after="0"/>
        <w:jc w:val="left"/>
        <w:rPr>
          <w:rFonts w:ascii="arial" w:hAnsi="arial"/>
          <w:sz w:val="20"/>
        </w:rPr>
      </w:pPr>
      <w:r>
        <w:rPr>
          <w:rFonts w:ascii="arial" w:hAnsi="arial"/>
          <w:sz w:val="20"/>
        </w:rPr>
        <w:t xml:space="preserve">The number of earned shares will be based on the closing price of our common stock on the date of certification of the achievement of the particular performance metric. Issuance of the restricted stock is generally subject to the NEO’s continued employment on each vesting date. The restricted stock vests in full in the event of an NEO’s death. Only Messrs. Edwards, Wheeler, Miller and Niswonger will be eligible to participate in the Five Year Performance Share Plan. </w:t>
      </w:r>
    </w:p>
    <w:p>
      <w:pPr>
        <w:pStyle w:val="TextBody"/>
        <w:bidi w:val="0"/>
        <w:spacing w:before="0" w:after="0"/>
        <w:jc w:val="left"/>
        <w:rPr/>
      </w:pPr>
      <w:r>
        <w:rPr/>
        <w:t> </w:t>
      </w:r>
    </w:p>
    <w:tbl>
      <w:tblPr>
        <w:tblW w:w="6240" w:type="dxa"/>
        <w:jc w:val="left"/>
        <w:tblInd w:w="0" w:type="dxa"/>
        <w:tblLayout w:type="fixed"/>
        <w:tblCellMar>
          <w:top w:w="0" w:type="dxa"/>
          <w:left w:w="0" w:type="dxa"/>
          <w:bottom w:w="0" w:type="dxa"/>
          <w:right w:w="0" w:type="dxa"/>
        </w:tblCellMar>
      </w:tblPr>
      <w:tblGrid>
        <w:gridCol w:w="1895"/>
        <w:gridCol w:w="120"/>
        <w:gridCol w:w="1910"/>
        <w:gridCol w:w="120"/>
        <w:gridCol w:w="2195"/>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b/>
                <w:color w:val="1F295C"/>
              </w:rPr>
            </w:pPr>
            <w:r>
              <w:rPr>
                <w:b/>
                <w:color w:val="1F295C"/>
              </w:rPr>
              <w:t>Name</w:t>
            </w:r>
          </w:p>
        </w:tc>
        <w:tc>
          <w:tcPr>
            <w:tcW w:w="12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0"/>
              <w:jc w:val="center"/>
              <w:rPr>
                <w:rFonts w:ascii="arial" w:hAnsi="arial"/>
                <w:b/>
                <w:color w:val="1F295C"/>
                <w:sz w:val="20"/>
              </w:rPr>
            </w:pPr>
            <w:r>
              <w:rPr>
                <w:rFonts w:ascii="arial" w:hAnsi="arial"/>
                <w:b/>
                <w:color w:val="1F295C"/>
                <w:sz w:val="20"/>
              </w:rPr>
              <w:t>Component 1 Target</w:t>
              <w:br/>
              <w:t>Restricted Stock</w:t>
              <w:br/>
              <w:t>Potential Payout if</w:t>
              <w:br/>
              <w:t>Earned</w:t>
            </w:r>
          </w:p>
          <w:p>
            <w:pPr>
              <w:pStyle w:val="TableContents"/>
              <w:bidi w:val="0"/>
              <w:spacing w:before="0" w:after="20"/>
              <w:jc w:val="center"/>
              <w:rPr>
                <w:rFonts w:ascii="arial" w:hAnsi="arial"/>
                <w:b/>
                <w:color w:val="1F295C"/>
                <w:sz w:val="20"/>
              </w:rPr>
            </w:pPr>
            <w:r>
              <w:rPr>
                <w:rFonts w:ascii="arial" w:hAnsi="arial"/>
                <w:b/>
                <w:color w:val="1F295C"/>
                <w:sz w:val="20"/>
              </w:rPr>
              <w:t>($)</w:t>
            </w:r>
          </w:p>
        </w:tc>
        <w:tc>
          <w:tcPr>
            <w:tcW w:w="1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center"/>
              <w:rPr>
                <w:rFonts w:ascii="arial" w:hAnsi="arial"/>
                <w:b/>
                <w:color w:val="1F295C"/>
                <w:sz w:val="20"/>
              </w:rPr>
            </w:pPr>
            <w:r>
              <w:rPr>
                <w:rFonts w:ascii="arial" w:hAnsi="arial"/>
                <w:b/>
                <w:color w:val="1F295C"/>
                <w:sz w:val="20"/>
              </w:rPr>
              <w:t>Component 2 2025</w:t>
              <w:br/>
              <w:t>Target Restricted Stock</w:t>
              <w:br/>
              <w:t>Potential Payout if</w:t>
              <w:br/>
              <w:t>Earned each Year</w:t>
            </w:r>
          </w:p>
          <w:p>
            <w:pPr>
              <w:pStyle w:val="TableContents"/>
              <w:bidi w:val="0"/>
              <w:spacing w:before="0" w:after="20"/>
              <w:jc w:val="center"/>
              <w:rPr>
                <w:rFonts w:ascii="arial" w:hAnsi="arial"/>
                <w:b/>
                <w:color w:val="1F295C"/>
                <w:sz w:val="20"/>
              </w:rPr>
            </w:pPr>
            <w:r>
              <w:rPr>
                <w:rFonts w:ascii="arial" w:hAnsi="arial"/>
                <w:b/>
                <w:color w:val="1F295C"/>
                <w:sz w:val="20"/>
              </w:rPr>
              <w:t>($)</w:t>
            </w:r>
          </w:p>
        </w:tc>
      </w:tr>
      <w:tr>
        <w:trPr/>
        <w:tc>
          <w:tcPr>
            <w:tcW w:w="1895" w:type="dxa"/>
            <w:tcBorders>
              <w:top w:val="single" w:sz="12" w:space="0" w:color="1070B8"/>
            </w:tcBorders>
            <w:shd w:fill="D5DBE3" w:val="clear"/>
            <w:tcMar>
              <w:top w:w="28" w:type="dxa"/>
            </w:tcMar>
            <w:vAlign w:val="center"/>
          </w:tcPr>
          <w:p>
            <w:pPr>
              <w:pStyle w:val="TableContents"/>
              <w:bidi w:val="0"/>
              <w:spacing w:before="0" w:after="283"/>
              <w:jc w:val="left"/>
              <w:rPr/>
            </w:pPr>
            <w:r>
              <w:rPr/>
              <w:t> </w:t>
            </w:r>
          </w:p>
        </w:tc>
        <w:tc>
          <w:tcPr>
            <w:tcW w:w="2030"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2315" w:type="dxa"/>
            <w:gridSpan w:val="2"/>
            <w:tcBorders>
              <w:top w:val="single" w:sz="12" w:space="0" w:color="1070B8"/>
            </w:tcBorders>
            <w:tcMar>
              <w:top w:w="28" w:type="dxa"/>
            </w:tcMar>
            <w:vAlign w:val="center"/>
          </w:tcPr>
          <w:p>
            <w:pPr>
              <w:pStyle w:val="TableContents"/>
              <w:bidi w:val="0"/>
              <w:spacing w:before="0" w:after="283"/>
              <w:jc w:val="left"/>
              <w:rPr/>
            </w:pPr>
            <w:r>
              <w:rPr/>
              <w:t> </w:t>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Jeffrey W. Edwards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10"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500,000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95"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150,000</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231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Michael T. Miller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10"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500,000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95"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150,000</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231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Brad A. Wheeler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10"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500,000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95"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150,000</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231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Jason R. Niswonger</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910" w:type="dxa"/>
            <w:tcBorders>
              <w:bottom w:val="single" w:sz="12" w:space="0" w:color="1070B8"/>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500,000</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2195" w:type="dxa"/>
            <w:tcBorders>
              <w:bottom w:val="single" w:sz="12" w:space="0" w:color="1070B8"/>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150,000</w:t>
            </w:r>
          </w:p>
        </w:tc>
      </w:tr>
    </w:tbl>
    <w:p>
      <w:pPr>
        <w:pStyle w:val="TextBody"/>
        <w:bidi w:val="0"/>
        <w:spacing w:before="240" w:after="0"/>
        <w:jc w:val="left"/>
        <w:rPr>
          <w:rFonts w:ascii="arial" w:hAnsi="arial"/>
          <w:b/>
          <w:color w:val="1F295C"/>
          <w:sz w:val="24"/>
        </w:rPr>
      </w:pPr>
      <w:bookmarkStart w:id="89" w:name="toc849638_61e"/>
      <w:bookmarkEnd w:id="89"/>
      <w:r>
        <w:rPr>
          <w:rFonts w:ascii="arial" w:hAnsi="arial"/>
          <w:b/>
          <w:color w:val="1F295C"/>
          <w:sz w:val="24"/>
        </w:rPr>
        <w:t xml:space="preserve">Section 5 – Other Compensation and Policies </w:t>
      </w:r>
    </w:p>
    <w:p>
      <w:pPr>
        <w:pStyle w:val="TextBody"/>
        <w:bidi w:val="0"/>
        <w:spacing w:before="240" w:after="0"/>
        <w:jc w:val="left"/>
        <w:rPr>
          <w:rFonts w:ascii="arial" w:hAnsi="arial"/>
          <w:color w:val="1070B8"/>
          <w:sz w:val="22"/>
        </w:rPr>
      </w:pPr>
      <w:bookmarkStart w:id="90" w:name="txc849638_26"/>
      <w:bookmarkEnd w:id="90"/>
      <w:r>
        <w:rPr>
          <w:rFonts w:ascii="arial" w:hAnsi="arial"/>
          <w:color w:val="1070B8"/>
          <w:sz w:val="22"/>
        </w:rPr>
        <w:t xml:space="preserve">Perquisites </w:t>
      </w:r>
    </w:p>
    <w:p>
      <w:pPr>
        <w:pStyle w:val="TextBody"/>
        <w:bidi w:val="0"/>
        <w:spacing w:before="240" w:after="0"/>
        <w:jc w:val="left"/>
        <w:rPr>
          <w:rFonts w:ascii="arial" w:hAnsi="arial"/>
          <w:sz w:val="20"/>
        </w:rPr>
      </w:pPr>
      <w:r>
        <w:rPr>
          <w:rFonts w:ascii="arial" w:hAnsi="arial"/>
          <w:sz w:val="20"/>
        </w:rPr>
        <w:t xml:space="preserve">The Company offers no perquisites to our NEOs that are not generally available to salaried employees other than auto leases or allowances (including insurance) and cell phones, which are set forth in the “All Other Compensation” column of the </w:t>
      </w:r>
      <w:r>
        <w:rPr>
          <w:rFonts w:ascii="arial" w:hAnsi="arial"/>
          <w:i/>
          <w:sz w:val="20"/>
        </w:rPr>
        <w:t>Summary Compensation Table</w:t>
      </w:r>
      <w:r>
        <w:rPr>
          <w:rFonts w:ascii="arial" w:hAnsi="arial"/>
          <w:sz w:val="20"/>
        </w:rPr>
        <w:t xml:space="preserve"> below. These perquisites do not play a significant role in our executive compensation program. From time to time, our NEOs may travel by Company-paid chartered aircraft services to facilitate travel that is directly related to the performance of their duties. </w:t>
      </w:r>
    </w:p>
    <w:p>
      <w:pPr>
        <w:pStyle w:val="TextBody"/>
        <w:bidi w:val="0"/>
        <w:spacing w:before="240" w:after="0"/>
        <w:jc w:val="left"/>
        <w:rPr>
          <w:rFonts w:ascii="arial" w:hAnsi="arial"/>
          <w:color w:val="1070B8"/>
          <w:sz w:val="22"/>
        </w:rPr>
      </w:pPr>
      <w:bookmarkStart w:id="91" w:name="txc849638_27"/>
      <w:bookmarkEnd w:id="91"/>
      <w:r>
        <w:rPr>
          <w:rFonts w:ascii="arial" w:hAnsi="arial"/>
          <w:color w:val="1070B8"/>
          <w:sz w:val="22"/>
        </w:rPr>
        <w:t xml:space="preserve">Post-Termination Compensation </w:t>
      </w:r>
    </w:p>
    <w:p>
      <w:pPr>
        <w:pStyle w:val="TextBody"/>
        <w:bidi w:val="0"/>
        <w:spacing w:before="240" w:after="0"/>
        <w:jc w:val="left"/>
        <w:rPr>
          <w:rFonts w:ascii="arial" w:hAnsi="arial"/>
          <w:sz w:val="20"/>
        </w:rPr>
      </w:pPr>
      <w:r>
        <w:rPr>
          <w:rFonts w:ascii="arial" w:hAnsi="arial"/>
          <w:sz w:val="20"/>
        </w:rPr>
        <w:t xml:space="preserve">We do not have severance or change-in-control arrangements with our named executive officers, except for Mr. Edwards. If an NEO’s employment is terminated due to retirement or disability, the CHC Committee may, in the exercise of its discretion, determine to accelerate vesting of restricted stock awards and to waive any limitations placed on performance-based incentive cash awards. If an NEO’s employment is terminated due to the executive’s death, all earned but unvested restricted stock awards automatically vest in full. </w:t>
      </w:r>
    </w:p>
    <w:p>
      <w:pPr>
        <w:pStyle w:val="TextBody"/>
        <w:bidi w:val="0"/>
        <w:spacing w:before="240" w:after="0"/>
        <w:jc w:val="left"/>
        <w:rPr>
          <w:rFonts w:ascii="arial" w:hAnsi="arial"/>
          <w:sz w:val="20"/>
        </w:rPr>
      </w:pPr>
      <w:r>
        <w:rPr>
          <w:rFonts w:ascii="arial" w:hAnsi="arial"/>
          <w:sz w:val="20"/>
        </w:rPr>
        <w:t>The Company has entered into an employment agreement with Mr. Edwards, the terms of which are more fully described below in “</w:t>
      </w:r>
      <w:r>
        <w:rPr>
          <w:rFonts w:ascii="arial" w:hAnsi="arial"/>
          <w:i/>
          <w:sz w:val="20"/>
        </w:rPr>
        <w:t>Employment Agreement with Jeffrey W. Edwards</w:t>
      </w:r>
      <w:r>
        <w:rPr>
          <w:rFonts w:ascii="arial" w:hAnsi="arial"/>
          <w:sz w:val="20"/>
        </w:rPr>
        <w:t>.” Under the terms of his employment agreement, Mr. Edwards is entitled to certain severance benefits in the event his employment is terminated by the Company without “Cause” or by Mr. Edwards for “Good Reason,” as defined in the employment agreement. These benefits include salary continuation, a lump sum cash payment and payment of earned but unpaid or unissued performance-based incentive awards. Details of the arrangement with Mr. Edwards are described in more detail in “</w:t>
      </w:r>
      <w:r>
        <w:rPr>
          <w:rFonts w:ascii="arial" w:hAnsi="arial"/>
          <w:i/>
          <w:sz w:val="20"/>
        </w:rPr>
        <w:t>Potential Payments Upon Termination or Change in Control</w:t>
      </w:r>
      <w:r>
        <w:rPr>
          <w:rFonts w:ascii="arial" w:hAnsi="arial"/>
          <w:sz w:val="20"/>
        </w:rPr>
        <w:t xml:space="preserve">” below. We have entered into non-compete agreements with each of our named executive officers, which also contain confidentiality provisions. </w:t>
      </w:r>
    </w:p>
    <w:p>
      <w:pPr>
        <w:pStyle w:val="TextBody"/>
        <w:bidi w:val="0"/>
        <w:spacing w:before="240" w:after="0"/>
        <w:jc w:val="left"/>
        <w:rPr>
          <w:rFonts w:ascii="arial" w:hAnsi="arial"/>
          <w:color w:val="1070B8"/>
          <w:sz w:val="22"/>
        </w:rPr>
      </w:pPr>
      <w:bookmarkStart w:id="92" w:name="txc849638_28"/>
      <w:bookmarkEnd w:id="92"/>
      <w:r>
        <w:rPr>
          <w:rFonts w:ascii="arial" w:hAnsi="arial"/>
          <w:color w:val="1070B8"/>
          <w:sz w:val="22"/>
        </w:rPr>
        <w:t xml:space="preserve">Retirement Benefits </w:t>
      </w:r>
    </w:p>
    <w:p>
      <w:pPr>
        <w:pStyle w:val="TextBody"/>
        <w:bidi w:val="0"/>
        <w:spacing w:before="240" w:after="0"/>
        <w:jc w:val="left"/>
        <w:rPr>
          <w:rFonts w:ascii="arial" w:hAnsi="arial"/>
          <w:sz w:val="20"/>
        </w:rPr>
      </w:pPr>
      <w:r>
        <w:rPr>
          <w:rFonts w:ascii="arial" w:hAnsi="arial"/>
          <w:sz w:val="20"/>
        </w:rPr>
        <w:t xml:space="preserve">The Company does not provide pension, retirement or similar benefits to its NEOs other than our 401(k) program, which is available to all of our qualifying employees, and our non-qualified deferred compensation plan, which allows our executive officers and other highly compensated employees to defer a portion of their eligible compensation above 401(k) plan limits.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color w:val="1070B8"/>
          <w:spacing w:val="0"/>
          <w:sz w:val="22"/>
        </w:rPr>
      </w:pPr>
      <w:r>
        <w:rPr>
          <w:rFonts w:ascii="arial" w:hAnsi="arial"/>
          <w:color w:val="1070B8"/>
          <w:spacing w:val="0"/>
          <w:sz w:val="22"/>
        </w:rPr>
        <w:t xml:space="preserve">Equity Grant Practices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20"/>
        </w:rPr>
      </w:pPr>
      <w:r>
        <w:rPr>
          <w:rFonts w:ascii="arial" w:hAnsi="arial"/>
          <w:sz w:val="20"/>
        </w:rPr>
        <w:t xml:space="preserve">The CHC Committee’s practice is to grant equity awards to our NEOs during the first quarter of each year, typically in late February when the CHC Committee has the financial information necessary to establish appropriate performance award criteria for the current year and to certify the achievement of the performance criteria for the prior fiscal year. Equity awards to other employees are granted by the CHC Committee in April of each year, except in special circumstances where awards may be made at other times during the year. We do not engage in the practice of timing grants with the release of </w:t>
      </w:r>
    </w:p>
    <w:p>
      <w:pPr>
        <w:pStyle w:val="TextBody"/>
        <w:bidi w:val="0"/>
        <w:spacing w:before="240" w:after="0"/>
        <w:jc w:val="left"/>
        <w:rPr>
          <w:rFonts w:ascii="arial" w:hAnsi="arial"/>
          <w:spacing w:val="0"/>
          <w:sz w:val="20"/>
        </w:rPr>
      </w:pPr>
      <w:r>
        <w:rPr>
          <w:rFonts w:ascii="arial" w:hAnsi="arial"/>
          <w:spacing w:val="0"/>
          <w:sz w:val="20"/>
        </w:rPr>
        <w:t>non-public</w:t>
      </w:r>
    </w:p>
    <w:p>
      <w:pPr>
        <w:pStyle w:val="TextBody"/>
        <w:bidi w:val="0"/>
        <w:spacing w:before="240" w:after="0"/>
        <w:jc w:val="left"/>
        <w:rPr>
          <w:rFonts w:ascii="arial" w:hAnsi="arial"/>
          <w:sz w:val="20"/>
        </w:rPr>
      </w:pPr>
      <w:r>
        <w:rPr>
          <w:rFonts w:ascii="arial" w:hAnsi="arial"/>
          <w:sz w:val="20"/>
        </w:rPr>
        <w:t xml:space="preserve">information nor do we time the disclosure of material </w:t>
      </w:r>
    </w:p>
    <w:p>
      <w:pPr>
        <w:pStyle w:val="TextBody"/>
        <w:bidi w:val="0"/>
        <w:spacing w:before="240" w:after="0"/>
        <w:jc w:val="left"/>
        <w:rPr>
          <w:rFonts w:ascii="arial" w:hAnsi="arial"/>
          <w:spacing w:val="0"/>
          <w:sz w:val="20"/>
        </w:rPr>
      </w:pPr>
      <w:r>
        <w:rPr>
          <w:rFonts w:ascii="arial" w:hAnsi="arial"/>
          <w:spacing w:val="0"/>
          <w:sz w:val="20"/>
        </w:rPr>
        <w:t>non-public</w:t>
      </w:r>
    </w:p>
    <w:p>
      <w:pPr>
        <w:pStyle w:val="TextBody"/>
        <w:bidi w:val="0"/>
        <w:spacing w:before="240" w:after="0"/>
        <w:jc w:val="left"/>
        <w:rPr>
          <w:rFonts w:ascii="arial" w:hAnsi="arial"/>
          <w:sz w:val="20"/>
        </w:rPr>
      </w:pPr>
      <w:r>
        <w:rPr>
          <w:rFonts w:ascii="arial" w:hAnsi="arial"/>
          <w:sz w:val="20"/>
        </w:rPr>
        <w:t xml:space="preserve">information for the purpose of affecting the value of executive compensation. In 2024, the Company did not grant stock options to any NEO during any period beginning four business days before and ending one business day after the filing of any Company periodic report on Form </w:t>
      </w:r>
    </w:p>
    <w:p>
      <w:pPr>
        <w:pStyle w:val="TextBody"/>
        <w:bidi w:val="0"/>
        <w:spacing w:before="240" w:after="0"/>
        <w:jc w:val="left"/>
        <w:rPr>
          <w:rFonts w:ascii="arial" w:hAnsi="arial"/>
          <w:spacing w:val="0"/>
          <w:sz w:val="20"/>
        </w:rPr>
      </w:pPr>
      <w:r>
        <w:rPr>
          <w:rFonts w:ascii="arial" w:hAnsi="arial"/>
          <w:spacing w:val="0"/>
          <w:sz w:val="20"/>
        </w:rPr>
        <w:t>10-Q</w:t>
      </w:r>
    </w:p>
    <w:p>
      <w:pPr>
        <w:pStyle w:val="TextBody"/>
        <w:bidi w:val="0"/>
        <w:spacing w:before="240" w:after="0"/>
        <w:jc w:val="left"/>
        <w:rPr>
          <w:rFonts w:ascii="arial" w:hAnsi="arial"/>
          <w:sz w:val="20"/>
        </w:rPr>
      </w:pPr>
      <w:r>
        <w:rPr>
          <w:rFonts w:ascii="arial" w:hAnsi="arial"/>
          <w:sz w:val="20"/>
        </w:rPr>
        <w:t xml:space="preserve">or Form </w:t>
      </w:r>
    </w:p>
    <w:p>
      <w:pPr>
        <w:pStyle w:val="TextBody"/>
        <w:bidi w:val="0"/>
        <w:spacing w:before="240" w:after="0"/>
        <w:jc w:val="left"/>
        <w:rPr>
          <w:rFonts w:ascii="arial" w:hAnsi="arial"/>
          <w:spacing w:val="0"/>
          <w:sz w:val="20"/>
        </w:rPr>
      </w:pPr>
      <w:r>
        <w:rPr>
          <w:rFonts w:ascii="arial" w:hAnsi="arial"/>
          <w:spacing w:val="0"/>
          <w:sz w:val="20"/>
        </w:rPr>
        <w:t>10-K,</w:t>
      </w:r>
    </w:p>
    <w:p>
      <w:pPr>
        <w:pStyle w:val="TextBody"/>
        <w:bidi w:val="0"/>
        <w:spacing w:before="240" w:after="0"/>
        <w:jc w:val="left"/>
        <w:rPr>
          <w:rFonts w:ascii="arial" w:hAnsi="arial"/>
          <w:sz w:val="20"/>
        </w:rPr>
      </w:pPr>
      <w:r>
        <w:rPr>
          <w:rFonts w:ascii="arial" w:hAnsi="arial"/>
          <w:sz w:val="20"/>
        </w:rPr>
        <w:t xml:space="preserve">or the filing or furnishing of any Company current report on Form </w:t>
      </w:r>
    </w:p>
    <w:p>
      <w:pPr>
        <w:pStyle w:val="TextBody"/>
        <w:bidi w:val="0"/>
        <w:spacing w:before="240" w:after="0"/>
        <w:jc w:val="left"/>
        <w:rPr>
          <w:rFonts w:ascii="arial" w:hAnsi="arial"/>
          <w:spacing w:val="0"/>
          <w:sz w:val="20"/>
        </w:rPr>
      </w:pPr>
      <w:r>
        <w:rPr>
          <w:rFonts w:ascii="arial" w:hAnsi="arial"/>
          <w:spacing w:val="0"/>
          <w:sz w:val="20"/>
        </w:rPr>
        <w:t>8-K</w:t>
      </w:r>
    </w:p>
    <w:p>
      <w:pPr>
        <w:pStyle w:val="TextBody"/>
        <w:bidi w:val="0"/>
        <w:spacing w:before="240" w:after="0"/>
        <w:jc w:val="left"/>
        <w:rPr>
          <w:rFonts w:ascii="arial" w:hAnsi="arial"/>
          <w:sz w:val="20"/>
        </w:rPr>
      </w:pPr>
      <w:r>
        <w:rPr>
          <w:rFonts w:ascii="arial" w:hAnsi="arial"/>
          <w:sz w:val="20"/>
        </w:rPr>
        <w:t xml:space="preserve">that disclosed any material nonpublic information. We did not grant stock options or other stock-based compensation other than performance-based restricted stock described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color w:val="1070B8"/>
          <w:spacing w:val="0"/>
          <w:sz w:val="22"/>
        </w:rPr>
      </w:pPr>
      <w:r>
        <w:rPr>
          <w:rFonts w:ascii="arial" w:hAnsi="arial"/>
          <w:color w:val="1070B8"/>
          <w:spacing w:val="0"/>
          <w:sz w:val="22"/>
        </w:rPr>
        <w:t xml:space="preserve">Taxes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20"/>
        </w:rPr>
      </w:pPr>
      <w:r>
        <w:rPr>
          <w:rFonts w:ascii="arial" w:hAnsi="arial"/>
          <w:sz w:val="20"/>
        </w:rPr>
        <w:t xml:space="preserve">We do not provide tax </w:t>
      </w:r>
    </w:p>
    <w:p>
      <w:pPr>
        <w:pStyle w:val="TextBody"/>
        <w:bidi w:val="0"/>
        <w:spacing w:before="240" w:after="0"/>
        <w:jc w:val="left"/>
        <w:rPr>
          <w:rFonts w:ascii="arial" w:hAnsi="arial"/>
          <w:spacing w:val="0"/>
          <w:sz w:val="20"/>
        </w:rPr>
      </w:pPr>
      <w:r>
        <w:rPr>
          <w:rFonts w:ascii="arial" w:hAnsi="arial"/>
          <w:spacing w:val="0"/>
          <w:sz w:val="20"/>
        </w:rPr>
        <w:t>gross-ups</w:t>
      </w:r>
    </w:p>
    <w:p>
      <w:pPr>
        <w:pStyle w:val="TextBody"/>
        <w:bidi w:val="0"/>
        <w:spacing w:before="240" w:after="0"/>
        <w:jc w:val="left"/>
        <w:rPr>
          <w:rFonts w:ascii="arial" w:hAnsi="arial"/>
          <w:sz w:val="20"/>
        </w:rPr>
      </w:pPr>
      <w:r>
        <w:rPr>
          <w:rFonts w:ascii="arial" w:hAnsi="arial"/>
          <w:sz w:val="20"/>
        </w:rPr>
        <w:t xml:space="preserve">for perquisites provided to our NEOs or for excise tax applied pursuant to Section 280G of the Internal Revenue Code. None of our NEOs received a tax </w:t>
      </w:r>
    </w:p>
    <w:p>
      <w:pPr>
        <w:pStyle w:val="TextBody"/>
        <w:bidi w:val="0"/>
        <w:spacing w:before="240" w:after="0"/>
        <w:jc w:val="left"/>
        <w:rPr>
          <w:rFonts w:ascii="arial" w:hAnsi="arial"/>
          <w:spacing w:val="0"/>
          <w:sz w:val="20"/>
        </w:rPr>
      </w:pPr>
      <w:r>
        <w:rPr>
          <w:rFonts w:ascii="arial" w:hAnsi="arial"/>
          <w:spacing w:val="0"/>
          <w:sz w:val="20"/>
        </w:rPr>
        <w:t>gross-up</w:t>
      </w:r>
    </w:p>
    <w:p>
      <w:pPr>
        <w:pStyle w:val="TextBody"/>
        <w:bidi w:val="0"/>
        <w:spacing w:before="240" w:after="0"/>
        <w:jc w:val="left"/>
        <w:rPr>
          <w:rFonts w:ascii="arial" w:hAnsi="arial"/>
          <w:sz w:val="20"/>
        </w:rPr>
      </w:pPr>
      <w:r>
        <w:rPr>
          <w:rFonts w:ascii="arial" w:hAnsi="arial"/>
          <w:sz w:val="20"/>
        </w:rPr>
        <w:t xml:space="preserve">for any benefits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color w:val="1070B8"/>
          <w:spacing w:val="0"/>
          <w:sz w:val="22"/>
        </w:rPr>
      </w:pPr>
      <w:r>
        <w:rPr>
          <w:rFonts w:ascii="arial" w:hAnsi="arial"/>
          <w:color w:val="1070B8"/>
          <w:spacing w:val="0"/>
          <w:sz w:val="22"/>
        </w:rPr>
        <w:t xml:space="preserve">Stock Ownership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20"/>
        </w:rPr>
      </w:pPr>
      <w:r>
        <w:rPr>
          <w:rFonts w:ascii="arial" w:hAnsi="arial"/>
          <w:sz w:val="20"/>
        </w:rPr>
        <w:t xml:space="preserve">The CHC Committee has established a Stock Ownership Policy for Executive Officers for the purpose of requiring executives to hold our common stock with a value equal to a multiple of base salary to strengthen their alignment with the interests of our stockholders and to promote achievement of long-term business objectives. </w:t>
      </w:r>
    </w:p>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4280"/>
        <w:gridCol w:w="120"/>
        <w:gridCol w:w="2405"/>
      </w:tblGrid>
      <w:tr>
        <w:trPr/>
        <w:tc>
          <w:tcPr>
            <w:tcW w:w="4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4280" w:type="dxa"/>
            <w:tcBorders/>
            <w:shd w:fill="1F295C" w:val="clear"/>
            <w:vAlign w:val="center"/>
          </w:tcPr>
          <w:p>
            <w:pPr>
              <w:pStyle w:val="TableContents"/>
              <w:bidi w:val="0"/>
              <w:spacing w:before="0" w:after="283"/>
              <w:jc w:val="left"/>
              <w:rPr>
                <w:sz w:val="4"/>
                <w:szCs w:val="4"/>
              </w:rPr>
            </w:pPr>
            <w:r>
              <w:rPr>
                <w:sz w:val="4"/>
                <w:szCs w:val="4"/>
              </w:rPr>
            </w:r>
          </w:p>
        </w:tc>
        <w:tc>
          <w:tcPr>
            <w:tcW w:w="2525" w:type="dxa"/>
            <w:gridSpan w:val="2"/>
            <w:tcBorders/>
            <w:shd w:fill="1F295C" w:val="clear"/>
            <w:vAlign w:val="center"/>
          </w:tcPr>
          <w:p>
            <w:pPr>
              <w:pStyle w:val="TableContents"/>
              <w:bidi w:val="0"/>
              <w:spacing w:before="0" w:after="283"/>
              <w:jc w:val="left"/>
              <w:rPr>
                <w:sz w:val="4"/>
                <w:szCs w:val="4"/>
              </w:rPr>
            </w:pPr>
            <w:r>
              <w:rPr>
                <w:sz w:val="4"/>
                <w:szCs w:val="4"/>
              </w:rPr>
            </w:r>
          </w:p>
        </w:tc>
      </w:tr>
      <w:tr>
        <w:trPr/>
        <w:tc>
          <w:tcPr>
            <w:tcW w:w="4280" w:type="dxa"/>
            <w:tcBorders/>
            <w:shd w:fill="1F295C" w:val="clear"/>
            <w:vAlign w:val="center"/>
          </w:tcPr>
          <w:p>
            <w:pPr>
              <w:pStyle w:val="TableContents"/>
              <w:bidi w:val="0"/>
              <w:spacing w:before="0" w:after="0"/>
              <w:jc w:val="left"/>
              <w:rPr>
                <w:color w:val="FFFFFF"/>
                <w:spacing w:val="0"/>
              </w:rPr>
            </w:pPr>
            <w:r>
              <w:rPr>
                <w:color w:val="FFFFFF"/>
                <w:spacing w:val="0"/>
              </w:rPr>
              <w:t> </w:t>
            </w:r>
            <w:r>
              <w:rPr>
                <w:b/>
                <w:color w:val="FFFFFF"/>
                <w:spacing w:val="0"/>
              </w:rPr>
              <w:t>Position</w:t>
            </w:r>
          </w:p>
        </w:tc>
        <w:tc>
          <w:tcPr>
            <w:tcW w:w="120" w:type="dxa"/>
            <w:tcBorders/>
            <w:shd w:fill="1F295C" w:val="clear"/>
            <w:vAlign w:val="center"/>
          </w:tcPr>
          <w:p>
            <w:pPr>
              <w:pStyle w:val="TableContents"/>
              <w:bidi w:val="0"/>
              <w:spacing w:before="0" w:after="283"/>
              <w:jc w:val="left"/>
              <w:rPr/>
            </w:pPr>
            <w:r>
              <w:rPr/>
              <w:t>  </w:t>
            </w:r>
          </w:p>
        </w:tc>
        <w:tc>
          <w:tcPr>
            <w:tcW w:w="2405" w:type="dxa"/>
            <w:tcBorders/>
            <w:shd w:fill="1F295C" w:val="clear"/>
            <w:vAlign w:val="center"/>
          </w:tcPr>
          <w:p>
            <w:pPr>
              <w:pStyle w:val="TableContents"/>
              <w:bidi w:val="0"/>
              <w:spacing w:before="0" w:after="0"/>
              <w:jc w:val="center"/>
              <w:rPr>
                <w:b/>
                <w:color w:val="FFFFFF"/>
                <w:spacing w:val="0"/>
              </w:rPr>
            </w:pPr>
            <w:r>
              <w:rPr>
                <w:b/>
                <w:color w:val="FFFFFF"/>
                <w:spacing w:val="0"/>
              </w:rPr>
              <w:t>Stock Ownership Level</w:t>
            </w:r>
          </w:p>
        </w:tc>
      </w:tr>
      <w:tr>
        <w:trPr/>
        <w:tc>
          <w:tcPr>
            <w:tcW w:w="4280"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Chief Executive Officer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5"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5 times base salary</w:t>
            </w:r>
          </w:p>
        </w:tc>
      </w:tr>
      <w:tr>
        <w:trPr/>
        <w:tc>
          <w:tcPr>
            <w:tcW w:w="4280"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Chief Financial Officer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5"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3 times base salary</w:t>
            </w:r>
          </w:p>
        </w:tc>
      </w:tr>
      <w:tr>
        <w:trPr/>
        <w:tc>
          <w:tcPr>
            <w:tcW w:w="4280"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Chief Operating Officer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5"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3 times base salary</w:t>
            </w:r>
          </w:p>
        </w:tc>
      </w:tr>
      <w:tr>
        <w:trPr/>
        <w:tc>
          <w:tcPr>
            <w:tcW w:w="4280"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Chief Accounting Officer and Treasurer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5"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1 times base salary</w:t>
            </w:r>
          </w:p>
        </w:tc>
      </w:tr>
      <w:tr>
        <w:trPr/>
        <w:tc>
          <w:tcPr>
            <w:tcW w:w="4280" w:type="dxa"/>
            <w:tcBorders>
              <w:bottom w:val="single" w:sz="6" w:space="0" w:color="000000"/>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President, External Affairs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5" w:type="dxa"/>
            <w:tcBorders>
              <w:bottom w:val="single" w:sz="6" w:space="0" w:color="000000"/>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1 times base salary</w:t>
            </w:r>
          </w:p>
        </w:tc>
      </w:tr>
      <w:tr>
        <w:trPr/>
        <w:tc>
          <w:tcPr>
            <w:tcW w:w="4280" w:type="dxa"/>
            <w:tcBorders>
              <w:bottom w:val="single" w:sz="12" w:space="0" w:color="1070B8"/>
            </w:tcBorders>
            <w:shd w:fill="D5DBE3" w:val="clear"/>
            <w:tcMar>
              <w:bottom w:w="28" w:type="dxa"/>
            </w:tcMar>
            <w:vAlign w:val="center"/>
          </w:tcPr>
          <w:p>
            <w:pPr>
              <w:pStyle w:val="TableContents"/>
              <w:bidi w:val="0"/>
              <w:spacing w:lineRule="atLeast" w:line="320" w:before="0" w:after="0"/>
              <w:jc w:val="left"/>
              <w:rPr/>
            </w:pPr>
            <w:r>
              <w:rPr/>
              <w:t> </w:t>
            </w:r>
            <w:r>
              <w:rPr>
                <w:rFonts w:ascii="arial" w:hAnsi="arial"/>
                <w:sz w:val="20"/>
              </w:rPr>
              <w:t>Chief Administrative and Sustainability Officer</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2405" w:type="dxa"/>
            <w:tcBorders>
              <w:bottom w:val="single" w:sz="12" w:space="0" w:color="1070B8"/>
            </w:tcBorders>
            <w:tcMar>
              <w:bottom w:w="28" w:type="dxa"/>
            </w:tcMar>
            <w:vAlign w:val="center"/>
          </w:tcPr>
          <w:p>
            <w:pPr>
              <w:pStyle w:val="TableContents"/>
              <w:bidi w:val="0"/>
              <w:spacing w:lineRule="atLeast" w:line="320" w:before="0" w:after="0"/>
              <w:jc w:val="center"/>
              <w:rPr>
                <w:rFonts w:ascii="arial" w:hAnsi="arial"/>
                <w:sz w:val="20"/>
              </w:rPr>
            </w:pPr>
            <w:r>
              <w:rPr>
                <w:rFonts w:ascii="arial" w:hAnsi="arial"/>
                <w:sz w:val="20"/>
              </w:rPr>
              <w:t>1 times base salary</w:t>
            </w:r>
          </w:p>
        </w:tc>
      </w:tr>
    </w:tbl>
    <w:p>
      <w:pPr>
        <w:pStyle w:val="TextBody"/>
        <w:bidi w:val="0"/>
        <w:spacing w:before="240" w:after="0"/>
        <w:jc w:val="left"/>
        <w:rPr>
          <w:rFonts w:ascii="arial" w:hAnsi="arial"/>
          <w:sz w:val="20"/>
        </w:rPr>
      </w:pPr>
      <w:r>
        <w:rPr>
          <w:rFonts w:ascii="arial" w:hAnsi="arial"/>
          <w:sz w:val="20"/>
        </w:rPr>
        <w:t xml:space="preserve">The following shares qualify for purposes of the ownership requirement: shares owned by the executive or held jointly with a spouse; shares held in a trust established for the benefit of the executive or his or her family; and shares of unvested restricted stock, excluding performance-based shares for which the performance metric has not been met. If an executive chooses to meet the ownership requirement using unvested shares of common stock issued under the Company’s incentive plan, the stock is valued for purposes of meeting the requirement at the greater of the closing price on the grant date or the closing price on the date on which ownership is measured (the last trading day of the year of measurement), unless the CHC Committee determines that the closing price on the measurement date is not representative. Once an executive has satisfied the ownership requirement, a decrease in share price absent a sale of shares by the executive will not result in noncompliance with the policy. An executive has five years from the date of being named as an executive officer, or if later, the date of an increase in the number of shares required to be held (e.g., due to an increase in salary), to meet this requirement. If an executive officer does not meet the ownership requirement at the measurement date, the executive is prohibited from selling any of our common stock, and fifty percent (50%) of his or her annual incentive bonus will be paid in the form of common stock in lieu of cash. All of our executive officers held shares in excess of the requirements as of December 31, 2024 except for Mr. Wheeler, who is on track to meet his requirement within the required time frame. In 2024, none of our executives had Rule </w:t>
      </w:r>
    </w:p>
    <w:p>
      <w:pPr>
        <w:pStyle w:val="TextBody"/>
        <w:bidi w:val="0"/>
        <w:spacing w:before="240" w:after="0"/>
        <w:jc w:val="left"/>
        <w:rPr>
          <w:rFonts w:ascii="arial" w:hAnsi="arial"/>
          <w:spacing w:val="0"/>
          <w:sz w:val="20"/>
        </w:rPr>
      </w:pPr>
      <w:r>
        <w:rPr>
          <w:rFonts w:ascii="arial" w:hAnsi="arial"/>
          <w:spacing w:val="0"/>
          <w:sz w:val="20"/>
        </w:rPr>
        <w:t>10b5-1</w:t>
      </w:r>
    </w:p>
    <w:p>
      <w:pPr>
        <w:pStyle w:val="TextBody"/>
        <w:bidi w:val="0"/>
        <w:spacing w:before="240" w:after="0"/>
        <w:jc w:val="left"/>
        <w:rPr>
          <w:rFonts w:ascii="arial" w:hAnsi="arial"/>
          <w:sz w:val="20"/>
        </w:rPr>
      </w:pPr>
      <w:r>
        <w:rPr>
          <w:rFonts w:ascii="arial" w:hAnsi="arial"/>
          <w:sz w:val="20"/>
        </w:rPr>
        <w:t xml:space="preserve">trading arrangements in place. </w:t>
      </w:r>
    </w:p>
    <w:p>
      <w:pPr>
        <w:pStyle w:val="TextBody"/>
        <w:bidi w:val="0"/>
        <w:spacing w:before="0" w:after="0"/>
        <w:jc w:val="left"/>
        <w:rPr/>
      </w:pPr>
      <w:r>
        <w:rPr/>
        <w:t> </w:t>
      </w:r>
    </w:p>
    <w:p>
      <w:pPr>
        <w:pStyle w:val="TextBody"/>
        <w:bidi w:val="0"/>
        <w:spacing w:lineRule="atLeast" w:line="142" w:before="0" w:after="40"/>
        <w:jc w:val="left"/>
        <w:rPr>
          <w:bdr w:val="single" w:sz="2" w:space="1" w:color="1070B8"/>
        </w:rPr>
      </w:pPr>
      <w:r>
        <w:rPr>
          <w:bdr w:val="single" w:sz="2" w:space="1" w:color="1070B8"/>
        </w:rPr>
        <w:t> </w:t>
      </w:r>
    </w:p>
    <w:p>
      <w:pPr>
        <w:pStyle w:val="TextBody"/>
        <w:bidi w:val="0"/>
        <w:spacing w:before="0" w:after="0"/>
        <w:jc w:val="center"/>
        <w:rPr>
          <w:rFonts w:ascii="arial" w:hAnsi="arial"/>
          <w:b/>
          <w:color w:val="1070B8"/>
          <w:spacing w:val="0"/>
          <w:sz w:val="20"/>
        </w:rPr>
      </w:pPr>
      <w:r>
        <w:rPr>
          <w:rFonts w:ascii="arial" w:hAnsi="arial"/>
          <w:b/>
          <w:color w:val="1070B8"/>
          <w:spacing w:val="0"/>
          <w:sz w:val="20"/>
        </w:rPr>
        <w:t xml:space="preserve">IBP 2025 Proxy Statement </w:t>
      </w:r>
    </w:p>
    <w:p>
      <w:pPr>
        <w:pStyle w:val="TextBody"/>
        <w:bidi w:val="0"/>
        <w:spacing w:before="80" w:after="0"/>
        <w:jc w:val="center"/>
        <w:rPr>
          <w:rFonts w:ascii="arial" w:hAnsi="arial"/>
          <w:color w:val="1070B8"/>
          <w:spacing w:val="0"/>
          <w:sz w:val="20"/>
        </w:rPr>
      </w:pPr>
      <w:r>
        <w:rPr>
          <w:rFonts w:ascii="arial" w:hAnsi="arial"/>
          <w:color w:val="1070B8"/>
          <w:spacing w:val="0"/>
          <w:sz w:val="20"/>
        </w:rPr>
        <w:t xml:space="preserve">Compensation Discussion and Analysis </w:t>
      </w:r>
    </w:p>
    <w:p>
      <w:pPr>
        <w:pStyle w:val="TextBody"/>
        <w:bidi w:val="0"/>
        <w:spacing w:before="0" w:after="0"/>
        <w:jc w:val="left"/>
        <w:rPr/>
      </w:pPr>
      <w:r>
        <w:rPr/>
        <w:t> </w:t>
      </w:r>
    </w:p>
    <w:p>
      <w:pPr>
        <w:pStyle w:val="TextBody"/>
        <w:bidi w:val="0"/>
        <w:spacing w:before="0" w:after="0"/>
        <w:jc w:val="center"/>
        <w:rPr>
          <w:rFonts w:ascii="arial" w:hAnsi="arial"/>
          <w:color w:val="1070B8"/>
          <w:spacing w:val="0"/>
          <w:sz w:val="20"/>
        </w:rPr>
      </w:pPr>
      <w:r>
        <w:rPr>
          <w:rFonts w:ascii="arial" w:hAnsi="arial"/>
          <w:color w:val="1070B8"/>
          <w:spacing w:val="0"/>
          <w:sz w:val="20"/>
        </w:rPr>
        <w:t xml:space="preserve">66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color w:val="1070B8"/>
          <w:spacing w:val="0"/>
          <w:sz w:val="22"/>
        </w:rPr>
      </w:pPr>
      <w:r>
        <w:rPr>
          <w:rFonts w:ascii="arial" w:hAnsi="arial"/>
          <w:color w:val="1070B8"/>
          <w:spacing w:val="0"/>
          <w:sz w:val="22"/>
        </w:rPr>
        <w:t xml:space="preserve">Clawback Policies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20"/>
        </w:rPr>
      </w:pPr>
      <w:r>
        <w:rPr>
          <w:rFonts w:ascii="arial" w:hAnsi="arial"/>
          <w:sz w:val="20"/>
        </w:rPr>
        <w:t xml:space="preserve">The Board of Directors has adopted incentive compensation recoupment policies, or “clawback” policies, the purpose of which is to deter our executives from taking actions that could potentially harm the Company and our stockholders. Our mandatory clawback policy applies to all incentive cash and equity compensation paid to any current or former executive officer. Under the policy, if we are required to restate our financial statements due to material noncompliance with financial reporting requirements under applicable securities laws, the Company will recover from each executive officer the amount of any incentive-based compensation paid during the three-year period preceding the restatement in excess of what would have been paid if calculated under the restated financial statements, without regard to taxes paid by the executive officer or the Company. The Company will not indemnify any executive officer against the loss of any incorrectly awarded or otherwise recouped incentive compensation. The Policy overrides any contrary provisions of any employment agreements, compensation plans or arrangements, or award agreements. The CHC Committee may decline to recoup incentive compensation if the committee determines that recovery is impracticable under limited exceptions. A copy of the policy is posted on our website at </w:t>
      </w:r>
    </w:p>
    <w:p>
      <w:pPr>
        <w:pStyle w:val="TextBody"/>
        <w:bidi w:val="0"/>
        <w:spacing w:before="240" w:after="0"/>
        <w:jc w:val="left"/>
        <w:rPr>
          <w:rFonts w:ascii="arial" w:hAnsi="arial"/>
          <w:i/>
          <w:caps w:val="false"/>
          <w:smallCaps w:val="false"/>
          <w:color w:val="1070B8"/>
          <w:spacing w:val="0"/>
          <w:sz w:val="20"/>
          <w:u w:val="single"/>
        </w:rPr>
      </w:pPr>
      <w:r>
        <w:rPr>
          <w:rFonts w:ascii="arial" w:hAnsi="arial"/>
          <w:i/>
          <w:caps w:val="false"/>
          <w:smallCaps w:val="false"/>
          <w:color w:val="1070B8"/>
          <w:spacing w:val="0"/>
          <w:sz w:val="20"/>
          <w:u w:val="single"/>
        </w:rPr>
        <w:t>https://investors.installedbuildingproducts.com/corporate-governance</w:t>
      </w:r>
    </w:p>
    <w:p>
      <w:pPr>
        <w:pStyle w:val="TextBody"/>
        <w:bidi w:val="0"/>
        <w:spacing w:before="240" w:after="0"/>
        <w:jc w:val="left"/>
        <w:rPr>
          <w:rFonts w:ascii="arial" w:hAnsi="arial"/>
          <w:sz w:val="20"/>
        </w:rPr>
      </w:pP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In addition to our mandatory clawback policy, the Board has adopted a discretionary clawback policy. The discretionary policy provides that if the CHC Committee determines that an executive officer has engaged in grossly negligent or intentional misconduct that was a significant contributing factor to an accounting restatement, any significant increase in the value of such executive’s incentive compensation or any substantial financial or reputational harm to the Company, the committee may (i) recover any incentive-based compensation awards paid prior to the date of determination, (ii) cancel any incentive compensation not paid or otherwise settled prior to the date of the determination, and (iii) withhold or eliminate any incentive compensation that could be paid or awarded after the date of determination. The CHC Committee may also dismiss the executive officer, authorize legal action against the executive for breach of fiduciary duty or other violation of law, and take such other action as the committee may deem appropriate. </w:t>
      </w:r>
    </w:p>
    <w:p>
      <w:pPr>
        <w:pStyle w:val="TextBody"/>
        <w:bidi w:val="0"/>
        <w:spacing w:before="0" w:after="0"/>
        <w:jc w:val="left"/>
        <w:rPr/>
      </w:pPr>
      <w:r>
        <w:rPr/>
        <w:t> </w:t>
      </w:r>
    </w:p>
    <w:p>
      <w:pPr>
        <w:pStyle w:val="TextBody"/>
        <w:bidi w:val="0"/>
        <w:spacing w:lineRule="atLeast" w:line="142" w:before="0" w:after="40"/>
        <w:jc w:val="left"/>
        <w:rPr>
          <w:bdr w:val="single" w:sz="2" w:space="1" w:color="1070B8"/>
        </w:rPr>
      </w:pPr>
      <w:r>
        <w:rPr>
          <w:bdr w:val="single" w:sz="2" w:space="1" w:color="1070B8"/>
        </w:rPr>
        <w:t> </w:t>
      </w:r>
    </w:p>
    <w:p>
      <w:pPr>
        <w:pStyle w:val="TextBody"/>
        <w:bidi w:val="0"/>
        <w:spacing w:before="0" w:after="0"/>
        <w:jc w:val="center"/>
        <w:rPr>
          <w:rFonts w:ascii="arial" w:hAnsi="arial"/>
          <w:b/>
          <w:color w:val="1070B8"/>
          <w:spacing w:val="0"/>
          <w:sz w:val="20"/>
        </w:rPr>
      </w:pPr>
      <w:r>
        <w:rPr>
          <w:rFonts w:ascii="arial" w:hAnsi="arial"/>
          <w:b/>
          <w:color w:val="1070B8"/>
          <w:spacing w:val="0"/>
          <w:sz w:val="20"/>
        </w:rPr>
        <w:t xml:space="preserve">IBP 2025 Proxy Statement </w:t>
      </w:r>
    </w:p>
    <w:p>
      <w:pPr>
        <w:pStyle w:val="TextBody"/>
        <w:bidi w:val="0"/>
        <w:spacing w:before="80" w:after="0"/>
        <w:jc w:val="center"/>
        <w:rPr>
          <w:rFonts w:ascii="arial" w:hAnsi="arial"/>
          <w:color w:val="1070B8"/>
          <w:spacing w:val="0"/>
          <w:sz w:val="20"/>
        </w:rPr>
      </w:pPr>
      <w:r>
        <w:rPr>
          <w:rFonts w:ascii="arial" w:hAnsi="arial"/>
          <w:color w:val="1070B8"/>
          <w:spacing w:val="0"/>
          <w:sz w:val="20"/>
        </w:rPr>
        <w:t xml:space="preserve">Compensation Discussion and Analysis </w:t>
      </w:r>
    </w:p>
    <w:p>
      <w:pPr>
        <w:pStyle w:val="TextBody"/>
        <w:bidi w:val="0"/>
        <w:spacing w:before="0" w:after="0"/>
        <w:jc w:val="left"/>
        <w:rPr/>
      </w:pPr>
      <w:r>
        <w:rPr/>
        <w:t> </w:t>
      </w:r>
    </w:p>
    <w:p>
      <w:pPr>
        <w:pStyle w:val="TextBody"/>
        <w:bidi w:val="0"/>
        <w:jc w:val="center"/>
        <w:rPr>
          <w:rFonts w:ascii="arial" w:hAnsi="arial"/>
          <w:color w:val="1070B8"/>
          <w:spacing w:val="0"/>
          <w:sz w:val="20"/>
        </w:rPr>
      </w:pPr>
      <w:r>
        <w:rPr>
          <w:rFonts w:ascii="arial" w:hAnsi="arial"/>
          <w:color w:val="1070B8"/>
          <w:spacing w:val="0"/>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bookmarkStart w:id="93" w:name="toc849638_62"/>
      <w:bookmarkEnd w:id="93"/>
      <w:r>
        <w:rPr>
          <w:rFonts w:ascii="Times New Roman" w:hAnsi="Times New Roman"/>
          <w:b/>
          <w:color w:val="1070B8"/>
          <w:sz w:val="44"/>
        </w:rPr>
        <w:t xml:space="preserve">EXECUTIVE COMPENSATION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240" w:after="0"/>
        <w:jc w:val="left"/>
        <w:rPr>
          <w:rFonts w:ascii="arial" w:hAnsi="arial"/>
          <w:b/>
          <w:color w:val="1F295C"/>
          <w:sz w:val="24"/>
        </w:rPr>
      </w:pPr>
      <w:bookmarkStart w:id="94" w:name="toc849638_63"/>
      <w:bookmarkEnd w:id="94"/>
      <w:r>
        <w:rPr>
          <w:rFonts w:ascii="arial" w:hAnsi="arial"/>
          <w:b/>
          <w:color w:val="1F295C"/>
          <w:sz w:val="24"/>
        </w:rPr>
        <w:t xml:space="preserve">Summary Compensation Table </w:t>
      </w:r>
    </w:p>
    <w:p>
      <w:pPr>
        <w:pStyle w:val="TextBody"/>
        <w:bidi w:val="0"/>
        <w:spacing w:before="240" w:after="0"/>
        <w:jc w:val="left"/>
        <w:rPr>
          <w:rFonts w:ascii="arial" w:hAnsi="arial"/>
          <w:sz w:val="20"/>
        </w:rPr>
      </w:pPr>
      <w:r>
        <w:rPr>
          <w:rFonts w:ascii="arial" w:hAnsi="arial"/>
          <w:sz w:val="20"/>
        </w:rPr>
        <w:t xml:space="preserve">The following table contains information regarding the compensation paid to or earned by each of our named executive officers for the three most recently completed fiscal years except for Brad Wheeler, who was named our Chief Operating Officer effective January 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84"/>
        <w:gridCol w:w="23"/>
        <w:gridCol w:w="23"/>
        <w:gridCol w:w="60"/>
        <w:gridCol w:w="500"/>
        <w:gridCol w:w="23"/>
        <w:gridCol w:w="23"/>
        <w:gridCol w:w="25"/>
        <w:gridCol w:w="66"/>
        <w:gridCol w:w="891"/>
        <w:gridCol w:w="28"/>
        <w:gridCol w:w="23"/>
        <w:gridCol w:w="23"/>
        <w:gridCol w:w="60"/>
        <w:gridCol w:w="980"/>
        <w:gridCol w:w="23"/>
        <w:gridCol w:w="23"/>
        <w:gridCol w:w="31"/>
        <w:gridCol w:w="82"/>
        <w:gridCol w:w="1344"/>
        <w:gridCol w:w="33"/>
        <w:gridCol w:w="23"/>
        <w:gridCol w:w="43"/>
        <w:gridCol w:w="113"/>
        <w:gridCol w:w="1289"/>
        <w:gridCol w:w="45"/>
        <w:gridCol w:w="23"/>
        <w:gridCol w:w="23"/>
        <w:gridCol w:w="60"/>
        <w:gridCol w:w="980"/>
        <w:gridCol w:w="38"/>
      </w:tblGrid>
      <w:tr>
        <w:trPr/>
        <w:tc>
          <w:tcPr>
            <w:tcW w:w="328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84" w:type="dxa"/>
            <w:tcBorders/>
            <w:vAlign w:val="center"/>
          </w:tcPr>
          <w:p>
            <w:pPr>
              <w:pStyle w:val="TableContents"/>
              <w:bidi w:val="0"/>
              <w:spacing w:before="0" w:after="283"/>
              <w:jc w:val="left"/>
              <w:rPr>
                <w:sz w:val="4"/>
                <w:szCs w:val="4"/>
              </w:rPr>
            </w:pPr>
            <w:r>
              <w:rPr>
                <w:sz w:val="4"/>
                <w:szCs w:val="4"/>
              </w:rPr>
            </w:r>
          </w:p>
        </w:tc>
        <w:tc>
          <w:tcPr>
            <w:tcW w:w="629" w:type="dxa"/>
            <w:gridSpan w:val="5"/>
            <w:tcBorders/>
            <w:vAlign w:val="center"/>
          </w:tcPr>
          <w:p>
            <w:pPr>
              <w:pStyle w:val="TableContents"/>
              <w:bidi w:val="0"/>
              <w:spacing w:before="0" w:after="283"/>
              <w:jc w:val="left"/>
              <w:rPr>
                <w:sz w:val="4"/>
                <w:szCs w:val="4"/>
              </w:rPr>
            </w:pPr>
            <w:r>
              <w:rPr>
                <w:sz w:val="4"/>
                <w:szCs w:val="4"/>
              </w:rPr>
            </w:r>
          </w:p>
        </w:tc>
        <w:tc>
          <w:tcPr>
            <w:tcW w:w="103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3284" w:type="dxa"/>
            <w:tcBorders>
              <w:bottom w:val="single" w:sz="12" w:space="0" w:color="1070B8"/>
            </w:tcBorders>
            <w:tcMar>
              <w:bottom w:w="80" w:type="dxa"/>
            </w:tcMar>
            <w:vAlign w:val="center"/>
          </w:tcPr>
          <w:p>
            <w:pPr>
              <w:pStyle w:val="TableContents"/>
              <w:bidi w:val="0"/>
              <w:spacing w:before="0" w:after="283"/>
              <w:jc w:val="left"/>
              <w:rPr>
                <w:b/>
                <w:color w:val="1F295C"/>
              </w:rPr>
            </w:pPr>
            <w:r>
              <w:rPr>
                <w:b/>
                <w:color w:val="1F295C"/>
              </w:rPr>
              <w:t>Name and Principal Position</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606"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Year</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010"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Salary ($)</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086"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Stock</w:t>
              <w:br/>
              <w:t>Awards</w:t>
              <w:br/>
              <w:t>($)(1)</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Non-Equity</w:t>
              <w:br/>
              <w:t>Incentive Plan</w:t>
              <w:br/>
              <w:t>Compensation</w:t>
              <w:br/>
              <w:t>($)(2)</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All Other</w:t>
              <w:br/>
              <w:t>Compensation</w:t>
              <w:br/>
              <w:t>($)(3)</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101"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Total</w:t>
              <w:br/>
              <w:t>($)</w:t>
            </w:r>
          </w:p>
        </w:tc>
      </w:tr>
      <w:tr>
        <w:trPr/>
        <w:tc>
          <w:tcPr>
            <w:tcW w:w="3284" w:type="dxa"/>
            <w:tcBorders/>
            <w:shd w:fill="D5DBE3" w:val="clear"/>
            <w:vAlign w:val="center"/>
          </w:tcPr>
          <w:p>
            <w:pPr>
              <w:pStyle w:val="TableContents"/>
              <w:bidi w:val="0"/>
              <w:spacing w:before="0" w:after="283"/>
              <w:jc w:val="left"/>
              <w:rPr>
                <w:sz w:val="4"/>
                <w:szCs w:val="4"/>
              </w:rPr>
            </w:pPr>
            <w:r>
              <w:rPr>
                <w:sz w:val="4"/>
                <w:szCs w:val="4"/>
              </w:rPr>
            </w:r>
          </w:p>
        </w:tc>
        <w:tc>
          <w:tcPr>
            <w:tcW w:w="629" w:type="dxa"/>
            <w:gridSpan w:val="5"/>
            <w:tcBorders/>
            <w:vAlign w:val="center"/>
          </w:tcPr>
          <w:p>
            <w:pPr>
              <w:pStyle w:val="TableContents"/>
              <w:bidi w:val="0"/>
              <w:spacing w:before="0" w:after="283"/>
              <w:jc w:val="left"/>
              <w:rPr>
                <w:sz w:val="4"/>
                <w:szCs w:val="4"/>
              </w:rPr>
            </w:pPr>
            <w:r>
              <w:rPr>
                <w:sz w:val="4"/>
                <w:szCs w:val="4"/>
              </w:rPr>
            </w:r>
          </w:p>
        </w:tc>
        <w:tc>
          <w:tcPr>
            <w:tcW w:w="103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3284" w:type="dxa"/>
            <w:tcBorders/>
            <w:shd w:fill="D5DBE3" w:val="clear"/>
            <w:vAlign w:val="center"/>
          </w:tcPr>
          <w:p>
            <w:pPr>
              <w:pStyle w:val="TableContents"/>
              <w:bidi w:val="0"/>
              <w:spacing w:before="0" w:after="0"/>
              <w:jc w:val="left"/>
              <w:rPr>
                <w:rFonts w:ascii="arial" w:hAnsi="arial"/>
                <w:sz w:val="20"/>
              </w:rPr>
            </w:pPr>
            <w:r>
              <w:rPr>
                <w:rFonts w:ascii="arial" w:hAnsi="arial"/>
                <w:sz w:val="20"/>
              </w:rPr>
              <w:t>Jeffrey W. Edwards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883,846</w:t>
            </w:r>
          </w:p>
        </w:tc>
        <w:tc>
          <w:tcPr>
            <w:tcW w:w="2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3,999,949</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1,247,480</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42,832</w:t>
            </w:r>
          </w:p>
        </w:tc>
        <w:tc>
          <w:tcPr>
            <w:tcW w:w="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6,174,107</w:t>
            </w:r>
          </w:p>
        </w:tc>
        <w:tc>
          <w:tcPr>
            <w:tcW w:w="38" w:type="dxa"/>
            <w:tcBorders/>
            <w:vAlign w:val="center"/>
          </w:tcPr>
          <w:p>
            <w:pPr>
              <w:pStyle w:val="TableContents"/>
              <w:bidi w:val="0"/>
              <w:spacing w:before="0" w:after="283"/>
              <w:jc w:val="left"/>
              <w:rPr>
                <w:sz w:val="4"/>
                <w:szCs w:val="4"/>
              </w:rPr>
            </w:pPr>
            <w:r>
              <w:rPr>
                <w:sz w:val="4"/>
                <w:szCs w:val="4"/>
              </w:rPr>
            </w:r>
          </w:p>
        </w:tc>
      </w:tr>
      <w:tr>
        <w:trPr/>
        <w:tc>
          <w:tcPr>
            <w:tcW w:w="3284" w:type="dxa"/>
            <w:tcBorders/>
            <w:vAlign w:val="center"/>
          </w:tcPr>
          <w:p>
            <w:pPr>
              <w:pStyle w:val="TableContents"/>
              <w:bidi w:val="0"/>
              <w:spacing w:before="0" w:after="283"/>
              <w:jc w:val="left"/>
              <w:rPr>
                <w:sz w:val="4"/>
                <w:szCs w:val="4"/>
              </w:rPr>
            </w:pPr>
            <w:r>
              <w:rPr>
                <w:sz w:val="4"/>
                <w:szCs w:val="4"/>
              </w:rPr>
            </w:r>
          </w:p>
        </w:tc>
        <w:tc>
          <w:tcPr>
            <w:tcW w:w="629" w:type="dxa"/>
            <w:gridSpan w:val="5"/>
            <w:tcBorders/>
            <w:vAlign w:val="center"/>
          </w:tcPr>
          <w:p>
            <w:pPr>
              <w:pStyle w:val="TableContents"/>
              <w:bidi w:val="0"/>
              <w:spacing w:before="0" w:after="283"/>
              <w:jc w:val="left"/>
              <w:rPr>
                <w:sz w:val="4"/>
                <w:szCs w:val="4"/>
              </w:rPr>
            </w:pPr>
            <w:r>
              <w:rPr>
                <w:sz w:val="4"/>
                <w:szCs w:val="4"/>
              </w:rPr>
            </w:r>
          </w:p>
        </w:tc>
        <w:tc>
          <w:tcPr>
            <w:tcW w:w="103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3284" w:type="dxa"/>
            <w:tcBorders/>
            <w:vAlign w:val="center"/>
          </w:tcPr>
          <w:p>
            <w:pPr>
              <w:pStyle w:val="TableContents"/>
              <w:bidi w:val="0"/>
              <w:spacing w:before="0" w:after="0"/>
              <w:jc w:val="left"/>
              <w:rPr>
                <w:rFonts w:ascii="arial" w:hAnsi="arial"/>
                <w:sz w:val="20"/>
              </w:rPr>
            </w:pPr>
            <w:r>
              <w:rPr>
                <w:rFonts w:ascii="arial" w:hAnsi="arial"/>
                <w:sz w:val="20"/>
              </w:rPr>
              <w:t>President, Chief Executive Officer and Chairman</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829,231</w:t>
            </w:r>
          </w:p>
        </w:tc>
        <w:tc>
          <w:tcPr>
            <w:tcW w:w="2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3,837,502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1,225,900</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39,541</w:t>
            </w:r>
          </w:p>
        </w:tc>
        <w:tc>
          <w:tcPr>
            <w:tcW w:w="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5,932,174</w:t>
            </w:r>
          </w:p>
        </w:tc>
        <w:tc>
          <w:tcPr>
            <w:tcW w:w="38" w:type="dxa"/>
            <w:tcBorders/>
            <w:vAlign w:val="center"/>
          </w:tcPr>
          <w:p>
            <w:pPr>
              <w:pStyle w:val="TableContents"/>
              <w:bidi w:val="0"/>
              <w:spacing w:before="0" w:after="283"/>
              <w:jc w:val="left"/>
              <w:rPr>
                <w:sz w:val="4"/>
                <w:szCs w:val="4"/>
              </w:rPr>
            </w:pPr>
            <w:r>
              <w:rPr>
                <w:sz w:val="4"/>
                <w:szCs w:val="4"/>
              </w:rPr>
            </w:r>
          </w:p>
        </w:tc>
      </w:tr>
      <w:tr>
        <w:trPr/>
        <w:tc>
          <w:tcPr>
            <w:tcW w:w="3284" w:type="dxa"/>
            <w:tcBorders/>
            <w:vAlign w:val="center"/>
          </w:tcPr>
          <w:p>
            <w:pPr>
              <w:pStyle w:val="TableContents"/>
              <w:bidi w:val="0"/>
              <w:spacing w:before="0" w:after="283"/>
              <w:jc w:val="left"/>
              <w:rPr>
                <w:sz w:val="4"/>
                <w:szCs w:val="4"/>
              </w:rPr>
            </w:pPr>
            <w:r>
              <w:rPr>
                <w:sz w:val="4"/>
                <w:szCs w:val="4"/>
              </w:rPr>
            </w:r>
          </w:p>
        </w:tc>
        <w:tc>
          <w:tcPr>
            <w:tcW w:w="629" w:type="dxa"/>
            <w:gridSpan w:val="5"/>
            <w:tcBorders/>
            <w:vAlign w:val="center"/>
          </w:tcPr>
          <w:p>
            <w:pPr>
              <w:pStyle w:val="TableContents"/>
              <w:bidi w:val="0"/>
              <w:spacing w:before="0" w:after="283"/>
              <w:jc w:val="left"/>
              <w:rPr>
                <w:sz w:val="4"/>
                <w:szCs w:val="4"/>
              </w:rPr>
            </w:pPr>
            <w:r>
              <w:rPr>
                <w:sz w:val="4"/>
                <w:szCs w:val="4"/>
              </w:rPr>
            </w:r>
          </w:p>
        </w:tc>
        <w:tc>
          <w:tcPr>
            <w:tcW w:w="103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328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500" w:type="dxa"/>
            <w:tcBorders>
              <w:bottom w:val="single" w:sz="6" w:space="0" w:color="000000"/>
            </w:tcBorders>
            <w:tcMar>
              <w:bottom w:w="80" w:type="dxa"/>
            </w:tcMar>
            <w:vAlign w:val="center"/>
          </w:tcPr>
          <w:p>
            <w:pPr>
              <w:pStyle w:val="TableContents"/>
              <w:bidi w:val="0"/>
              <w:spacing w:before="0" w:after="283"/>
              <w:jc w:val="right"/>
              <w:rPr/>
            </w:pPr>
            <w:r>
              <w:rPr/>
              <w:t>2022</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000000"/>
            </w:tcBorders>
            <w:tcMar>
              <w:bottom w:w="80" w:type="dxa"/>
            </w:tcMar>
            <w:vAlign w:val="center"/>
          </w:tcPr>
          <w:p>
            <w:pPr>
              <w:pStyle w:val="TableContents"/>
              <w:bidi w:val="0"/>
              <w:spacing w:before="0" w:after="283"/>
              <w:jc w:val="left"/>
              <w:rPr/>
            </w:pPr>
            <w:r>
              <w:rPr/>
              <w:t> </w:t>
            </w:r>
          </w:p>
        </w:tc>
        <w:tc>
          <w:tcPr>
            <w:tcW w:w="891" w:type="dxa"/>
            <w:tcBorders>
              <w:bottom w:val="single" w:sz="6" w:space="0" w:color="000000"/>
            </w:tcBorders>
            <w:tcMar>
              <w:bottom w:w="80" w:type="dxa"/>
            </w:tcMar>
            <w:vAlign w:val="center"/>
          </w:tcPr>
          <w:p>
            <w:pPr>
              <w:pStyle w:val="TableContents"/>
              <w:bidi w:val="0"/>
              <w:spacing w:before="0" w:after="283"/>
              <w:jc w:val="right"/>
              <w:rPr/>
            </w:pPr>
            <w:r>
              <w:rPr/>
              <w:t>786,731</w:t>
            </w:r>
          </w:p>
        </w:tc>
        <w:tc>
          <w:tcPr>
            <w:tcW w:w="28"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980" w:type="dxa"/>
            <w:tcBorders>
              <w:bottom w:val="single" w:sz="6" w:space="0" w:color="000000"/>
            </w:tcBorders>
            <w:tcMar>
              <w:bottom w:w="80" w:type="dxa"/>
            </w:tcMar>
            <w:vAlign w:val="center"/>
          </w:tcPr>
          <w:p>
            <w:pPr>
              <w:pStyle w:val="TableContents"/>
              <w:bidi w:val="0"/>
              <w:spacing w:before="0" w:after="283"/>
              <w:jc w:val="right"/>
              <w:rPr/>
            </w:pPr>
            <w:r>
              <w:rPr/>
              <w:t>3,377,950</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80" w:type="dxa"/>
            </w:tcMar>
            <w:vAlign w:val="center"/>
          </w:tcPr>
          <w:p>
            <w:pPr>
              <w:pStyle w:val="TableContents"/>
              <w:bidi w:val="0"/>
              <w:spacing w:before="0" w:after="283"/>
              <w:jc w:val="left"/>
              <w:rPr/>
            </w:pPr>
            <w:r>
              <w:rPr/>
              <w:t> </w:t>
            </w:r>
          </w:p>
        </w:tc>
        <w:tc>
          <w:tcPr>
            <w:tcW w:w="1344" w:type="dxa"/>
            <w:tcBorders>
              <w:bottom w:val="single" w:sz="6" w:space="0" w:color="000000"/>
            </w:tcBorders>
            <w:tcMar>
              <w:bottom w:w="80" w:type="dxa"/>
            </w:tcMar>
            <w:vAlign w:val="center"/>
          </w:tcPr>
          <w:p>
            <w:pPr>
              <w:pStyle w:val="TableContents"/>
              <w:bidi w:val="0"/>
              <w:spacing w:before="0" w:after="283"/>
              <w:jc w:val="right"/>
              <w:rPr/>
            </w:pPr>
            <w:r>
              <w:rPr/>
              <w:t>1,126,000</w:t>
            </w:r>
          </w:p>
        </w:tc>
        <w:tc>
          <w:tcPr>
            <w:tcW w:w="3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80" w:type="dxa"/>
            </w:tcMar>
            <w:vAlign w:val="center"/>
          </w:tcPr>
          <w:p>
            <w:pPr>
              <w:pStyle w:val="TableContents"/>
              <w:bidi w:val="0"/>
              <w:spacing w:before="0" w:after="283"/>
              <w:jc w:val="left"/>
              <w:rPr/>
            </w:pPr>
            <w:r>
              <w:rPr/>
              <w:t> </w:t>
            </w:r>
          </w:p>
        </w:tc>
        <w:tc>
          <w:tcPr>
            <w:tcW w:w="1289" w:type="dxa"/>
            <w:tcBorders>
              <w:bottom w:val="single" w:sz="6" w:space="0" w:color="000000"/>
            </w:tcBorders>
            <w:tcMar>
              <w:bottom w:w="80" w:type="dxa"/>
            </w:tcMar>
            <w:vAlign w:val="center"/>
          </w:tcPr>
          <w:p>
            <w:pPr>
              <w:pStyle w:val="TableContents"/>
              <w:bidi w:val="0"/>
              <w:spacing w:before="0" w:after="283"/>
              <w:jc w:val="right"/>
              <w:rPr/>
            </w:pPr>
            <w:r>
              <w:rPr/>
              <w:t>40,353</w:t>
            </w:r>
          </w:p>
        </w:tc>
        <w:tc>
          <w:tcPr>
            <w:tcW w:w="45"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980" w:type="dxa"/>
            <w:tcBorders>
              <w:bottom w:val="single" w:sz="6" w:space="0" w:color="000000"/>
            </w:tcBorders>
            <w:tcMar>
              <w:bottom w:w="80" w:type="dxa"/>
            </w:tcMar>
            <w:vAlign w:val="center"/>
          </w:tcPr>
          <w:p>
            <w:pPr>
              <w:pStyle w:val="TableContents"/>
              <w:bidi w:val="0"/>
              <w:spacing w:before="0" w:after="283"/>
              <w:jc w:val="right"/>
              <w:rPr/>
            </w:pPr>
            <w:r>
              <w:rPr/>
              <w:t>5,331,034</w:t>
            </w:r>
          </w:p>
        </w:tc>
        <w:tc>
          <w:tcPr>
            <w:tcW w:w="38"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3284" w:type="dxa"/>
            <w:tcBorders/>
            <w:shd w:fill="D5DBE3" w:val="clear"/>
            <w:vAlign w:val="center"/>
          </w:tcPr>
          <w:p>
            <w:pPr>
              <w:pStyle w:val="TableContents"/>
              <w:bidi w:val="0"/>
              <w:spacing w:before="0" w:after="283"/>
              <w:jc w:val="left"/>
              <w:rPr>
                <w:sz w:val="4"/>
                <w:szCs w:val="4"/>
              </w:rPr>
            </w:pPr>
            <w:r>
              <w:rPr>
                <w:sz w:val="4"/>
                <w:szCs w:val="4"/>
              </w:rPr>
            </w:r>
          </w:p>
        </w:tc>
        <w:tc>
          <w:tcPr>
            <w:tcW w:w="629" w:type="dxa"/>
            <w:gridSpan w:val="5"/>
            <w:tcBorders/>
            <w:vAlign w:val="center"/>
          </w:tcPr>
          <w:p>
            <w:pPr>
              <w:pStyle w:val="TableContents"/>
              <w:bidi w:val="0"/>
              <w:spacing w:before="0" w:after="283"/>
              <w:jc w:val="left"/>
              <w:rPr>
                <w:sz w:val="4"/>
                <w:szCs w:val="4"/>
              </w:rPr>
            </w:pPr>
            <w:r>
              <w:rPr>
                <w:sz w:val="4"/>
                <w:szCs w:val="4"/>
              </w:rPr>
            </w:r>
          </w:p>
        </w:tc>
        <w:tc>
          <w:tcPr>
            <w:tcW w:w="103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3284" w:type="dxa"/>
            <w:tcBorders/>
            <w:shd w:fill="D5DBE3" w:val="clear"/>
            <w:vAlign w:val="center"/>
          </w:tcPr>
          <w:p>
            <w:pPr>
              <w:pStyle w:val="TableContents"/>
              <w:bidi w:val="0"/>
              <w:spacing w:before="0" w:after="0"/>
              <w:jc w:val="left"/>
              <w:rPr>
                <w:rFonts w:ascii="arial" w:hAnsi="arial"/>
                <w:sz w:val="20"/>
              </w:rPr>
            </w:pPr>
            <w:r>
              <w:rPr>
                <w:rFonts w:ascii="arial" w:hAnsi="arial"/>
                <w:sz w:val="20"/>
              </w:rPr>
              <w:t>Michael T. Miller</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466,923</w:t>
            </w:r>
          </w:p>
        </w:tc>
        <w:tc>
          <w:tcPr>
            <w:tcW w:w="2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1,249,971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455,810</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21,025</w:t>
            </w:r>
          </w:p>
        </w:tc>
        <w:tc>
          <w:tcPr>
            <w:tcW w:w="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2,193,730</w:t>
            </w:r>
          </w:p>
        </w:tc>
        <w:tc>
          <w:tcPr>
            <w:tcW w:w="38" w:type="dxa"/>
            <w:tcBorders/>
            <w:vAlign w:val="center"/>
          </w:tcPr>
          <w:p>
            <w:pPr>
              <w:pStyle w:val="TableContents"/>
              <w:bidi w:val="0"/>
              <w:spacing w:before="0" w:after="283"/>
              <w:jc w:val="left"/>
              <w:rPr>
                <w:sz w:val="4"/>
                <w:szCs w:val="4"/>
              </w:rPr>
            </w:pPr>
            <w:r>
              <w:rPr>
                <w:sz w:val="4"/>
                <w:szCs w:val="4"/>
              </w:rPr>
            </w:r>
          </w:p>
        </w:tc>
      </w:tr>
      <w:tr>
        <w:trPr/>
        <w:tc>
          <w:tcPr>
            <w:tcW w:w="3284" w:type="dxa"/>
            <w:tcBorders/>
            <w:vAlign w:val="center"/>
          </w:tcPr>
          <w:p>
            <w:pPr>
              <w:pStyle w:val="TableContents"/>
              <w:bidi w:val="0"/>
              <w:spacing w:before="0" w:after="283"/>
              <w:jc w:val="left"/>
              <w:rPr>
                <w:sz w:val="4"/>
                <w:szCs w:val="4"/>
              </w:rPr>
            </w:pPr>
            <w:r>
              <w:rPr>
                <w:sz w:val="4"/>
                <w:szCs w:val="4"/>
              </w:rPr>
            </w:r>
          </w:p>
        </w:tc>
        <w:tc>
          <w:tcPr>
            <w:tcW w:w="629" w:type="dxa"/>
            <w:gridSpan w:val="5"/>
            <w:tcBorders/>
            <w:vAlign w:val="center"/>
          </w:tcPr>
          <w:p>
            <w:pPr>
              <w:pStyle w:val="TableContents"/>
              <w:bidi w:val="0"/>
              <w:spacing w:before="0" w:after="283"/>
              <w:jc w:val="left"/>
              <w:rPr>
                <w:sz w:val="4"/>
                <w:szCs w:val="4"/>
              </w:rPr>
            </w:pPr>
            <w:r>
              <w:rPr>
                <w:sz w:val="4"/>
                <w:szCs w:val="4"/>
              </w:rPr>
            </w:r>
          </w:p>
        </w:tc>
        <w:tc>
          <w:tcPr>
            <w:tcW w:w="103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3284" w:type="dxa"/>
            <w:tcBorders/>
            <w:vAlign w:val="center"/>
          </w:tcPr>
          <w:p>
            <w:pPr>
              <w:pStyle w:val="TableContents"/>
              <w:bidi w:val="0"/>
              <w:spacing w:before="0" w:after="0"/>
              <w:jc w:val="left"/>
              <w:rPr>
                <w:rFonts w:ascii="arial" w:hAnsi="arial"/>
                <w:sz w:val="20"/>
              </w:rPr>
            </w:pPr>
            <w:r>
              <w:rPr>
                <w:rFonts w:ascii="arial" w:hAnsi="arial"/>
                <w:sz w:val="20"/>
              </w:rPr>
              <w:t>Executive Vice President and Chief Financial Officer</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439,615</w:t>
            </w:r>
          </w:p>
        </w:tc>
        <w:tc>
          <w:tcPr>
            <w:tcW w:w="2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1,236,500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458,380</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22,940</w:t>
            </w:r>
          </w:p>
        </w:tc>
        <w:tc>
          <w:tcPr>
            <w:tcW w:w="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2,157,435</w:t>
            </w:r>
          </w:p>
        </w:tc>
        <w:tc>
          <w:tcPr>
            <w:tcW w:w="38" w:type="dxa"/>
            <w:tcBorders/>
            <w:vAlign w:val="center"/>
          </w:tcPr>
          <w:p>
            <w:pPr>
              <w:pStyle w:val="TableContents"/>
              <w:bidi w:val="0"/>
              <w:spacing w:before="0" w:after="283"/>
              <w:jc w:val="left"/>
              <w:rPr>
                <w:sz w:val="4"/>
                <w:szCs w:val="4"/>
              </w:rPr>
            </w:pPr>
            <w:r>
              <w:rPr>
                <w:sz w:val="4"/>
                <w:szCs w:val="4"/>
              </w:rPr>
            </w:r>
          </w:p>
        </w:tc>
      </w:tr>
      <w:tr>
        <w:trPr/>
        <w:tc>
          <w:tcPr>
            <w:tcW w:w="3284" w:type="dxa"/>
            <w:tcBorders/>
            <w:vAlign w:val="center"/>
          </w:tcPr>
          <w:p>
            <w:pPr>
              <w:pStyle w:val="TableContents"/>
              <w:bidi w:val="0"/>
              <w:spacing w:before="0" w:after="283"/>
              <w:jc w:val="left"/>
              <w:rPr>
                <w:sz w:val="4"/>
                <w:szCs w:val="4"/>
              </w:rPr>
            </w:pPr>
            <w:r>
              <w:rPr>
                <w:sz w:val="4"/>
                <w:szCs w:val="4"/>
              </w:rPr>
            </w:r>
          </w:p>
        </w:tc>
        <w:tc>
          <w:tcPr>
            <w:tcW w:w="629" w:type="dxa"/>
            <w:gridSpan w:val="5"/>
            <w:tcBorders/>
            <w:vAlign w:val="center"/>
          </w:tcPr>
          <w:p>
            <w:pPr>
              <w:pStyle w:val="TableContents"/>
              <w:bidi w:val="0"/>
              <w:spacing w:before="0" w:after="283"/>
              <w:jc w:val="left"/>
              <w:rPr>
                <w:sz w:val="4"/>
                <w:szCs w:val="4"/>
              </w:rPr>
            </w:pPr>
            <w:r>
              <w:rPr>
                <w:sz w:val="4"/>
                <w:szCs w:val="4"/>
              </w:rPr>
            </w:r>
          </w:p>
        </w:tc>
        <w:tc>
          <w:tcPr>
            <w:tcW w:w="103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328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500" w:type="dxa"/>
            <w:tcBorders>
              <w:bottom w:val="single" w:sz="6" w:space="0" w:color="000000"/>
            </w:tcBorders>
            <w:tcMar>
              <w:bottom w:w="80" w:type="dxa"/>
            </w:tcMar>
            <w:vAlign w:val="center"/>
          </w:tcPr>
          <w:p>
            <w:pPr>
              <w:pStyle w:val="TableContents"/>
              <w:bidi w:val="0"/>
              <w:spacing w:before="0" w:after="283"/>
              <w:jc w:val="right"/>
              <w:rPr/>
            </w:pPr>
            <w:r>
              <w:rPr/>
              <w:t>2022</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000000"/>
            </w:tcBorders>
            <w:tcMar>
              <w:bottom w:w="80" w:type="dxa"/>
            </w:tcMar>
            <w:vAlign w:val="center"/>
          </w:tcPr>
          <w:p>
            <w:pPr>
              <w:pStyle w:val="TableContents"/>
              <w:bidi w:val="0"/>
              <w:spacing w:before="0" w:after="283"/>
              <w:jc w:val="left"/>
              <w:rPr/>
            </w:pPr>
            <w:r>
              <w:rPr/>
              <w:t> </w:t>
            </w:r>
          </w:p>
        </w:tc>
        <w:tc>
          <w:tcPr>
            <w:tcW w:w="891" w:type="dxa"/>
            <w:tcBorders>
              <w:bottom w:val="single" w:sz="6" w:space="0" w:color="000000"/>
            </w:tcBorders>
            <w:tcMar>
              <w:bottom w:w="80" w:type="dxa"/>
            </w:tcMar>
            <w:vAlign w:val="center"/>
          </w:tcPr>
          <w:p>
            <w:pPr>
              <w:pStyle w:val="TableContents"/>
              <w:bidi w:val="0"/>
              <w:spacing w:before="0" w:after="283"/>
              <w:jc w:val="right"/>
              <w:rPr/>
            </w:pPr>
            <w:r>
              <w:rPr/>
              <w:t>411,731</w:t>
            </w:r>
          </w:p>
        </w:tc>
        <w:tc>
          <w:tcPr>
            <w:tcW w:w="28"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980" w:type="dxa"/>
            <w:tcBorders>
              <w:bottom w:val="single" w:sz="6" w:space="0" w:color="000000"/>
            </w:tcBorders>
            <w:tcMar>
              <w:bottom w:w="80" w:type="dxa"/>
            </w:tcMar>
            <w:vAlign w:val="center"/>
          </w:tcPr>
          <w:p>
            <w:pPr>
              <w:pStyle w:val="TableContents"/>
              <w:bidi w:val="0"/>
              <w:spacing w:before="0" w:after="283"/>
              <w:jc w:val="right"/>
              <w:rPr/>
            </w:pPr>
            <w:r>
              <w:rPr/>
              <w:t>1,086,542</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80" w:type="dxa"/>
            </w:tcMar>
            <w:vAlign w:val="center"/>
          </w:tcPr>
          <w:p>
            <w:pPr>
              <w:pStyle w:val="TableContents"/>
              <w:bidi w:val="0"/>
              <w:spacing w:before="0" w:after="283"/>
              <w:jc w:val="left"/>
              <w:rPr/>
            </w:pPr>
            <w:r>
              <w:rPr/>
              <w:t> </w:t>
            </w:r>
          </w:p>
        </w:tc>
        <w:tc>
          <w:tcPr>
            <w:tcW w:w="1344" w:type="dxa"/>
            <w:tcBorders>
              <w:bottom w:val="single" w:sz="6" w:space="0" w:color="000000"/>
            </w:tcBorders>
            <w:tcMar>
              <w:bottom w:w="80" w:type="dxa"/>
            </w:tcMar>
            <w:vAlign w:val="center"/>
          </w:tcPr>
          <w:p>
            <w:pPr>
              <w:pStyle w:val="TableContents"/>
              <w:bidi w:val="0"/>
              <w:spacing w:before="0" w:after="283"/>
              <w:jc w:val="right"/>
              <w:rPr/>
            </w:pPr>
            <w:r>
              <w:rPr/>
              <w:t>427,880</w:t>
            </w:r>
          </w:p>
        </w:tc>
        <w:tc>
          <w:tcPr>
            <w:tcW w:w="3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80" w:type="dxa"/>
            </w:tcMar>
            <w:vAlign w:val="center"/>
          </w:tcPr>
          <w:p>
            <w:pPr>
              <w:pStyle w:val="TableContents"/>
              <w:bidi w:val="0"/>
              <w:spacing w:before="0" w:after="283"/>
              <w:jc w:val="left"/>
              <w:rPr/>
            </w:pPr>
            <w:r>
              <w:rPr/>
              <w:t> </w:t>
            </w:r>
          </w:p>
        </w:tc>
        <w:tc>
          <w:tcPr>
            <w:tcW w:w="1289" w:type="dxa"/>
            <w:tcBorders>
              <w:bottom w:val="single" w:sz="6" w:space="0" w:color="000000"/>
            </w:tcBorders>
            <w:tcMar>
              <w:bottom w:w="80" w:type="dxa"/>
            </w:tcMar>
            <w:vAlign w:val="center"/>
          </w:tcPr>
          <w:p>
            <w:pPr>
              <w:pStyle w:val="TableContents"/>
              <w:bidi w:val="0"/>
              <w:spacing w:before="0" w:after="283"/>
              <w:jc w:val="right"/>
              <w:rPr/>
            </w:pPr>
            <w:r>
              <w:rPr/>
              <w:t>23,111</w:t>
            </w:r>
          </w:p>
        </w:tc>
        <w:tc>
          <w:tcPr>
            <w:tcW w:w="45"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980" w:type="dxa"/>
            <w:tcBorders>
              <w:bottom w:val="single" w:sz="6" w:space="0" w:color="000000"/>
            </w:tcBorders>
            <w:tcMar>
              <w:bottom w:w="80" w:type="dxa"/>
            </w:tcMar>
            <w:vAlign w:val="center"/>
          </w:tcPr>
          <w:p>
            <w:pPr>
              <w:pStyle w:val="TableContents"/>
              <w:bidi w:val="0"/>
              <w:spacing w:before="0" w:after="283"/>
              <w:jc w:val="right"/>
              <w:rPr/>
            </w:pPr>
            <w:r>
              <w:rPr/>
              <w:t>1,949,264</w:t>
            </w:r>
          </w:p>
        </w:tc>
        <w:tc>
          <w:tcPr>
            <w:tcW w:w="38"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3284" w:type="dxa"/>
            <w:tcBorders/>
            <w:shd w:fill="D5DBE3" w:val="clear"/>
            <w:vAlign w:val="center"/>
          </w:tcPr>
          <w:p>
            <w:pPr>
              <w:pStyle w:val="TableContents"/>
              <w:bidi w:val="0"/>
              <w:spacing w:before="0" w:after="283"/>
              <w:jc w:val="left"/>
              <w:rPr>
                <w:sz w:val="4"/>
                <w:szCs w:val="4"/>
              </w:rPr>
            </w:pPr>
            <w:r>
              <w:rPr>
                <w:sz w:val="4"/>
                <w:szCs w:val="4"/>
              </w:rPr>
            </w:r>
          </w:p>
        </w:tc>
        <w:tc>
          <w:tcPr>
            <w:tcW w:w="629" w:type="dxa"/>
            <w:gridSpan w:val="5"/>
            <w:tcBorders/>
            <w:vAlign w:val="center"/>
          </w:tcPr>
          <w:p>
            <w:pPr>
              <w:pStyle w:val="TableContents"/>
              <w:bidi w:val="0"/>
              <w:spacing w:before="0" w:after="283"/>
              <w:jc w:val="left"/>
              <w:rPr>
                <w:sz w:val="4"/>
                <w:szCs w:val="4"/>
              </w:rPr>
            </w:pPr>
            <w:r>
              <w:rPr>
                <w:sz w:val="4"/>
                <w:szCs w:val="4"/>
              </w:rPr>
            </w:r>
          </w:p>
        </w:tc>
        <w:tc>
          <w:tcPr>
            <w:tcW w:w="103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3284" w:type="dxa"/>
            <w:tcBorders/>
            <w:shd w:fill="D5DBE3" w:val="clear"/>
            <w:vAlign w:val="center"/>
          </w:tcPr>
          <w:p>
            <w:pPr>
              <w:pStyle w:val="TableContents"/>
              <w:bidi w:val="0"/>
              <w:spacing w:before="0" w:after="0"/>
              <w:jc w:val="left"/>
              <w:rPr>
                <w:rFonts w:ascii="arial" w:hAnsi="arial"/>
                <w:sz w:val="20"/>
              </w:rPr>
            </w:pPr>
            <w:r>
              <w:rPr>
                <w:rFonts w:ascii="arial" w:hAnsi="arial"/>
                <w:sz w:val="20"/>
              </w:rPr>
              <w:t>Brad A. Wheeler</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474,231</w:t>
            </w:r>
          </w:p>
        </w:tc>
        <w:tc>
          <w:tcPr>
            <w:tcW w:w="2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999,936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431,820</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4,375</w:t>
            </w:r>
          </w:p>
        </w:tc>
        <w:tc>
          <w:tcPr>
            <w:tcW w:w="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1,910,361</w:t>
            </w:r>
          </w:p>
        </w:tc>
        <w:tc>
          <w:tcPr>
            <w:tcW w:w="38" w:type="dxa"/>
            <w:tcBorders/>
            <w:vAlign w:val="center"/>
          </w:tcPr>
          <w:p>
            <w:pPr>
              <w:pStyle w:val="TableContents"/>
              <w:bidi w:val="0"/>
              <w:spacing w:before="0" w:after="283"/>
              <w:jc w:val="left"/>
              <w:rPr>
                <w:sz w:val="4"/>
                <w:szCs w:val="4"/>
              </w:rPr>
            </w:pPr>
            <w:r>
              <w:rPr>
                <w:sz w:val="4"/>
                <w:szCs w:val="4"/>
              </w:rPr>
            </w:r>
          </w:p>
        </w:tc>
      </w:tr>
      <w:tr>
        <w:trPr/>
        <w:tc>
          <w:tcPr>
            <w:tcW w:w="3284" w:type="dxa"/>
            <w:tcBorders/>
            <w:vAlign w:val="center"/>
          </w:tcPr>
          <w:p>
            <w:pPr>
              <w:pStyle w:val="TableContents"/>
              <w:bidi w:val="0"/>
              <w:spacing w:before="0" w:after="283"/>
              <w:jc w:val="left"/>
              <w:rPr>
                <w:sz w:val="4"/>
                <w:szCs w:val="4"/>
              </w:rPr>
            </w:pPr>
            <w:r>
              <w:rPr>
                <w:sz w:val="4"/>
                <w:szCs w:val="4"/>
              </w:rPr>
            </w:r>
          </w:p>
        </w:tc>
        <w:tc>
          <w:tcPr>
            <w:tcW w:w="629" w:type="dxa"/>
            <w:gridSpan w:val="5"/>
            <w:tcBorders/>
            <w:vAlign w:val="center"/>
          </w:tcPr>
          <w:p>
            <w:pPr>
              <w:pStyle w:val="TableContents"/>
              <w:bidi w:val="0"/>
              <w:spacing w:before="0" w:after="283"/>
              <w:jc w:val="left"/>
              <w:rPr>
                <w:sz w:val="4"/>
                <w:szCs w:val="4"/>
              </w:rPr>
            </w:pPr>
            <w:r>
              <w:rPr>
                <w:sz w:val="4"/>
                <w:szCs w:val="4"/>
              </w:rPr>
            </w:r>
          </w:p>
        </w:tc>
        <w:tc>
          <w:tcPr>
            <w:tcW w:w="103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3284" w:type="dxa"/>
            <w:tcBorders>
              <w:bottom w:val="single" w:sz="6" w:space="0" w:color="000000"/>
            </w:tcBorders>
            <w:tcMar>
              <w:bottom w:w="80" w:type="dxa"/>
            </w:tcMar>
            <w:vAlign w:val="center"/>
          </w:tcPr>
          <w:p>
            <w:pPr>
              <w:pStyle w:val="TableContents"/>
              <w:bidi w:val="0"/>
              <w:spacing w:before="0" w:after="0"/>
              <w:jc w:val="left"/>
              <w:rPr>
                <w:rFonts w:ascii="arial" w:hAnsi="arial"/>
                <w:sz w:val="20"/>
              </w:rPr>
            </w:pPr>
            <w:r>
              <w:rPr>
                <w:rFonts w:ascii="arial" w:hAnsi="arial"/>
                <w:sz w:val="20"/>
              </w:rPr>
              <w:t>Chief Operating Officer</w:t>
            </w:r>
          </w:p>
          <w:p>
            <w:pPr>
              <w:pStyle w:val="TableContents"/>
              <w:bidi w:val="0"/>
              <w:spacing w:before="0" w:after="2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8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284" w:type="dxa"/>
            <w:tcBorders/>
            <w:shd w:fill="D5DBE3" w:val="clear"/>
            <w:vAlign w:val="center"/>
          </w:tcPr>
          <w:p>
            <w:pPr>
              <w:pStyle w:val="TableContents"/>
              <w:bidi w:val="0"/>
              <w:spacing w:before="0" w:after="283"/>
              <w:jc w:val="left"/>
              <w:rPr>
                <w:sz w:val="4"/>
                <w:szCs w:val="4"/>
              </w:rPr>
            </w:pPr>
            <w:r>
              <w:rPr>
                <w:sz w:val="4"/>
                <w:szCs w:val="4"/>
              </w:rPr>
            </w:r>
          </w:p>
        </w:tc>
        <w:tc>
          <w:tcPr>
            <w:tcW w:w="629" w:type="dxa"/>
            <w:gridSpan w:val="5"/>
            <w:tcBorders/>
            <w:vAlign w:val="center"/>
          </w:tcPr>
          <w:p>
            <w:pPr>
              <w:pStyle w:val="TableContents"/>
              <w:bidi w:val="0"/>
              <w:spacing w:before="0" w:after="283"/>
              <w:jc w:val="left"/>
              <w:rPr>
                <w:sz w:val="4"/>
                <w:szCs w:val="4"/>
              </w:rPr>
            </w:pPr>
            <w:r>
              <w:rPr>
                <w:sz w:val="4"/>
                <w:szCs w:val="4"/>
              </w:rPr>
            </w:r>
          </w:p>
        </w:tc>
        <w:tc>
          <w:tcPr>
            <w:tcW w:w="103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3284" w:type="dxa"/>
            <w:tcBorders/>
            <w:shd w:fill="D5DBE3" w:val="clear"/>
            <w:vAlign w:val="center"/>
          </w:tcPr>
          <w:p>
            <w:pPr>
              <w:pStyle w:val="TableContents"/>
              <w:bidi w:val="0"/>
              <w:spacing w:before="0" w:after="0"/>
              <w:jc w:val="left"/>
              <w:rPr>
                <w:rFonts w:ascii="arial" w:hAnsi="arial"/>
                <w:sz w:val="20"/>
              </w:rPr>
            </w:pPr>
            <w:r>
              <w:rPr>
                <w:rFonts w:ascii="arial" w:hAnsi="arial"/>
                <w:sz w:val="20"/>
              </w:rPr>
              <w:t>W. Jeffrey Hire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441,923</w:t>
            </w:r>
          </w:p>
        </w:tc>
        <w:tc>
          <w:tcPr>
            <w:tcW w:w="2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274,957</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215,910</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32,465</w:t>
            </w:r>
          </w:p>
        </w:tc>
        <w:tc>
          <w:tcPr>
            <w:tcW w:w="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965,255</w:t>
            </w:r>
          </w:p>
        </w:tc>
        <w:tc>
          <w:tcPr>
            <w:tcW w:w="38" w:type="dxa"/>
            <w:tcBorders/>
            <w:vAlign w:val="center"/>
          </w:tcPr>
          <w:p>
            <w:pPr>
              <w:pStyle w:val="TableContents"/>
              <w:bidi w:val="0"/>
              <w:spacing w:before="0" w:after="283"/>
              <w:jc w:val="left"/>
              <w:rPr>
                <w:sz w:val="4"/>
                <w:szCs w:val="4"/>
              </w:rPr>
            </w:pPr>
            <w:r>
              <w:rPr>
                <w:sz w:val="4"/>
                <w:szCs w:val="4"/>
              </w:rPr>
            </w:r>
          </w:p>
        </w:tc>
      </w:tr>
      <w:tr>
        <w:trPr/>
        <w:tc>
          <w:tcPr>
            <w:tcW w:w="3284" w:type="dxa"/>
            <w:tcBorders/>
            <w:vAlign w:val="center"/>
          </w:tcPr>
          <w:p>
            <w:pPr>
              <w:pStyle w:val="TableContents"/>
              <w:bidi w:val="0"/>
              <w:spacing w:before="0" w:after="283"/>
              <w:jc w:val="left"/>
              <w:rPr>
                <w:sz w:val="4"/>
                <w:szCs w:val="4"/>
              </w:rPr>
            </w:pPr>
            <w:r>
              <w:rPr>
                <w:sz w:val="4"/>
                <w:szCs w:val="4"/>
              </w:rPr>
            </w:r>
          </w:p>
        </w:tc>
        <w:tc>
          <w:tcPr>
            <w:tcW w:w="629" w:type="dxa"/>
            <w:gridSpan w:val="5"/>
            <w:tcBorders/>
            <w:vAlign w:val="center"/>
          </w:tcPr>
          <w:p>
            <w:pPr>
              <w:pStyle w:val="TableContents"/>
              <w:bidi w:val="0"/>
              <w:spacing w:before="0" w:after="283"/>
              <w:jc w:val="left"/>
              <w:rPr>
                <w:sz w:val="4"/>
                <w:szCs w:val="4"/>
              </w:rPr>
            </w:pPr>
            <w:r>
              <w:rPr>
                <w:sz w:val="4"/>
                <w:szCs w:val="4"/>
              </w:rPr>
            </w:r>
          </w:p>
        </w:tc>
        <w:tc>
          <w:tcPr>
            <w:tcW w:w="103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3284" w:type="dxa"/>
            <w:tcBorders/>
            <w:vAlign w:val="center"/>
          </w:tcPr>
          <w:p>
            <w:pPr>
              <w:pStyle w:val="TableContents"/>
              <w:bidi w:val="0"/>
              <w:spacing w:before="0" w:after="0"/>
              <w:jc w:val="left"/>
              <w:rPr>
                <w:rFonts w:ascii="arial" w:hAnsi="arial"/>
                <w:sz w:val="20"/>
              </w:rPr>
            </w:pPr>
            <w:r>
              <w:rPr>
                <w:rFonts w:ascii="arial" w:hAnsi="arial"/>
                <w:sz w:val="20"/>
              </w:rPr>
              <w:t>President, External Affairs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414,615</w:t>
            </w:r>
          </w:p>
        </w:tc>
        <w:tc>
          <w:tcPr>
            <w:tcW w:w="2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266,418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213,200</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31,914</w:t>
            </w:r>
          </w:p>
        </w:tc>
        <w:tc>
          <w:tcPr>
            <w:tcW w:w="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926,147</w:t>
            </w:r>
          </w:p>
        </w:tc>
        <w:tc>
          <w:tcPr>
            <w:tcW w:w="38" w:type="dxa"/>
            <w:tcBorders/>
            <w:vAlign w:val="center"/>
          </w:tcPr>
          <w:p>
            <w:pPr>
              <w:pStyle w:val="TableContents"/>
              <w:bidi w:val="0"/>
              <w:spacing w:before="0" w:after="283"/>
              <w:jc w:val="left"/>
              <w:rPr>
                <w:sz w:val="4"/>
                <w:szCs w:val="4"/>
              </w:rPr>
            </w:pPr>
            <w:r>
              <w:rPr>
                <w:sz w:val="4"/>
                <w:szCs w:val="4"/>
              </w:rPr>
            </w:r>
          </w:p>
        </w:tc>
      </w:tr>
      <w:tr>
        <w:trPr/>
        <w:tc>
          <w:tcPr>
            <w:tcW w:w="3284" w:type="dxa"/>
            <w:tcBorders/>
            <w:vAlign w:val="center"/>
          </w:tcPr>
          <w:p>
            <w:pPr>
              <w:pStyle w:val="TableContents"/>
              <w:bidi w:val="0"/>
              <w:spacing w:before="0" w:after="283"/>
              <w:jc w:val="left"/>
              <w:rPr>
                <w:sz w:val="4"/>
                <w:szCs w:val="4"/>
              </w:rPr>
            </w:pPr>
            <w:r>
              <w:rPr>
                <w:sz w:val="4"/>
                <w:szCs w:val="4"/>
              </w:rPr>
            </w:r>
          </w:p>
        </w:tc>
        <w:tc>
          <w:tcPr>
            <w:tcW w:w="629" w:type="dxa"/>
            <w:gridSpan w:val="5"/>
            <w:tcBorders/>
            <w:vAlign w:val="center"/>
          </w:tcPr>
          <w:p>
            <w:pPr>
              <w:pStyle w:val="TableContents"/>
              <w:bidi w:val="0"/>
              <w:spacing w:before="0" w:after="283"/>
              <w:jc w:val="left"/>
              <w:rPr>
                <w:sz w:val="4"/>
                <w:szCs w:val="4"/>
              </w:rPr>
            </w:pPr>
            <w:r>
              <w:rPr>
                <w:sz w:val="4"/>
                <w:szCs w:val="4"/>
              </w:rPr>
            </w:r>
          </w:p>
        </w:tc>
        <w:tc>
          <w:tcPr>
            <w:tcW w:w="103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328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500" w:type="dxa"/>
            <w:tcBorders>
              <w:bottom w:val="single" w:sz="6" w:space="0" w:color="000000"/>
            </w:tcBorders>
            <w:tcMar>
              <w:bottom w:w="80" w:type="dxa"/>
            </w:tcMar>
            <w:vAlign w:val="center"/>
          </w:tcPr>
          <w:p>
            <w:pPr>
              <w:pStyle w:val="TableContents"/>
              <w:bidi w:val="0"/>
              <w:spacing w:before="0" w:after="283"/>
              <w:jc w:val="right"/>
              <w:rPr/>
            </w:pPr>
            <w:r>
              <w:rPr/>
              <w:t>2022</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000000"/>
            </w:tcBorders>
            <w:tcMar>
              <w:bottom w:w="80" w:type="dxa"/>
            </w:tcMar>
            <w:vAlign w:val="center"/>
          </w:tcPr>
          <w:p>
            <w:pPr>
              <w:pStyle w:val="TableContents"/>
              <w:bidi w:val="0"/>
              <w:spacing w:before="0" w:after="283"/>
              <w:jc w:val="left"/>
              <w:rPr/>
            </w:pPr>
            <w:r>
              <w:rPr/>
              <w:t> </w:t>
            </w:r>
          </w:p>
        </w:tc>
        <w:tc>
          <w:tcPr>
            <w:tcW w:w="891" w:type="dxa"/>
            <w:tcBorders>
              <w:bottom w:val="single" w:sz="6" w:space="0" w:color="000000"/>
            </w:tcBorders>
            <w:tcMar>
              <w:bottom w:w="80" w:type="dxa"/>
            </w:tcMar>
            <w:vAlign w:val="center"/>
          </w:tcPr>
          <w:p>
            <w:pPr>
              <w:pStyle w:val="TableContents"/>
              <w:bidi w:val="0"/>
              <w:spacing w:before="0" w:after="283"/>
              <w:jc w:val="right"/>
              <w:rPr/>
            </w:pPr>
            <w:r>
              <w:rPr/>
              <w:t>393,365</w:t>
            </w:r>
          </w:p>
        </w:tc>
        <w:tc>
          <w:tcPr>
            <w:tcW w:w="28"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980" w:type="dxa"/>
            <w:tcBorders>
              <w:bottom w:val="single" w:sz="6" w:space="0" w:color="000000"/>
            </w:tcBorders>
            <w:tcMar>
              <w:bottom w:w="80" w:type="dxa"/>
            </w:tcMar>
            <w:vAlign w:val="center"/>
          </w:tcPr>
          <w:p>
            <w:pPr>
              <w:pStyle w:val="TableContents"/>
              <w:bidi w:val="0"/>
              <w:spacing w:before="0" w:after="283"/>
              <w:jc w:val="right"/>
              <w:rPr/>
            </w:pPr>
            <w:r>
              <w:rPr/>
              <w:t>225,217</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0000"/>
            </w:tcBorders>
            <w:tcMar>
              <w:bottom w:w="80" w:type="dxa"/>
            </w:tcMar>
            <w:vAlign w:val="center"/>
          </w:tcPr>
          <w:p>
            <w:pPr>
              <w:pStyle w:val="TableContents"/>
              <w:bidi w:val="0"/>
              <w:spacing w:before="0" w:after="283"/>
              <w:jc w:val="left"/>
              <w:rPr/>
            </w:pPr>
            <w:r>
              <w:rPr/>
              <w:t> </w:t>
            </w:r>
          </w:p>
        </w:tc>
        <w:tc>
          <w:tcPr>
            <w:tcW w:w="1344" w:type="dxa"/>
            <w:tcBorders>
              <w:bottom w:val="single" w:sz="6" w:space="0" w:color="000000"/>
            </w:tcBorders>
            <w:tcMar>
              <w:bottom w:w="80" w:type="dxa"/>
            </w:tcMar>
            <w:vAlign w:val="center"/>
          </w:tcPr>
          <w:p>
            <w:pPr>
              <w:pStyle w:val="TableContents"/>
              <w:bidi w:val="0"/>
              <w:spacing w:before="0" w:after="283"/>
              <w:jc w:val="right"/>
              <w:rPr/>
            </w:pPr>
            <w:r>
              <w:rPr/>
              <w:t>168,900</w:t>
            </w:r>
          </w:p>
        </w:tc>
        <w:tc>
          <w:tcPr>
            <w:tcW w:w="3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0000"/>
            </w:tcBorders>
            <w:tcMar>
              <w:bottom w:w="80" w:type="dxa"/>
            </w:tcMar>
            <w:vAlign w:val="center"/>
          </w:tcPr>
          <w:p>
            <w:pPr>
              <w:pStyle w:val="TableContents"/>
              <w:bidi w:val="0"/>
              <w:spacing w:before="0" w:after="283"/>
              <w:jc w:val="left"/>
              <w:rPr/>
            </w:pPr>
            <w:r>
              <w:rPr/>
              <w:t> </w:t>
            </w:r>
          </w:p>
        </w:tc>
        <w:tc>
          <w:tcPr>
            <w:tcW w:w="1289" w:type="dxa"/>
            <w:tcBorders>
              <w:bottom w:val="single" w:sz="6" w:space="0" w:color="000000"/>
            </w:tcBorders>
            <w:tcMar>
              <w:bottom w:w="80" w:type="dxa"/>
            </w:tcMar>
            <w:vAlign w:val="center"/>
          </w:tcPr>
          <w:p>
            <w:pPr>
              <w:pStyle w:val="TableContents"/>
              <w:bidi w:val="0"/>
              <w:spacing w:before="0" w:after="283"/>
              <w:jc w:val="right"/>
              <w:rPr/>
            </w:pPr>
            <w:r>
              <w:rPr/>
              <w:t>31,511</w:t>
            </w:r>
          </w:p>
        </w:tc>
        <w:tc>
          <w:tcPr>
            <w:tcW w:w="45"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980" w:type="dxa"/>
            <w:tcBorders>
              <w:bottom w:val="single" w:sz="6" w:space="0" w:color="000000"/>
            </w:tcBorders>
            <w:tcMar>
              <w:bottom w:w="80" w:type="dxa"/>
            </w:tcMar>
            <w:vAlign w:val="center"/>
          </w:tcPr>
          <w:p>
            <w:pPr>
              <w:pStyle w:val="TableContents"/>
              <w:bidi w:val="0"/>
              <w:spacing w:before="0" w:after="283"/>
              <w:jc w:val="right"/>
              <w:rPr/>
            </w:pPr>
            <w:r>
              <w:rPr/>
              <w:t>818,994</w:t>
            </w:r>
          </w:p>
        </w:tc>
        <w:tc>
          <w:tcPr>
            <w:tcW w:w="38"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3284" w:type="dxa"/>
            <w:tcBorders/>
            <w:shd w:fill="D5DBE3" w:val="clear"/>
            <w:vAlign w:val="center"/>
          </w:tcPr>
          <w:p>
            <w:pPr>
              <w:pStyle w:val="TableContents"/>
              <w:bidi w:val="0"/>
              <w:spacing w:before="0" w:after="283"/>
              <w:jc w:val="left"/>
              <w:rPr>
                <w:sz w:val="4"/>
                <w:szCs w:val="4"/>
              </w:rPr>
            </w:pPr>
            <w:r>
              <w:rPr>
                <w:sz w:val="4"/>
                <w:szCs w:val="4"/>
              </w:rPr>
            </w:r>
          </w:p>
        </w:tc>
        <w:tc>
          <w:tcPr>
            <w:tcW w:w="629" w:type="dxa"/>
            <w:gridSpan w:val="5"/>
            <w:tcBorders/>
            <w:vAlign w:val="center"/>
          </w:tcPr>
          <w:p>
            <w:pPr>
              <w:pStyle w:val="TableContents"/>
              <w:bidi w:val="0"/>
              <w:spacing w:before="0" w:after="283"/>
              <w:jc w:val="left"/>
              <w:rPr>
                <w:sz w:val="4"/>
                <w:szCs w:val="4"/>
              </w:rPr>
            </w:pPr>
            <w:r>
              <w:rPr>
                <w:sz w:val="4"/>
                <w:szCs w:val="4"/>
              </w:rPr>
            </w:r>
          </w:p>
        </w:tc>
        <w:tc>
          <w:tcPr>
            <w:tcW w:w="103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3284" w:type="dxa"/>
            <w:tcBorders/>
            <w:shd w:fill="D5DBE3" w:val="clear"/>
            <w:vAlign w:val="center"/>
          </w:tcPr>
          <w:p>
            <w:pPr>
              <w:pStyle w:val="TableContents"/>
              <w:bidi w:val="0"/>
              <w:spacing w:before="0" w:after="0"/>
              <w:jc w:val="left"/>
              <w:rPr>
                <w:rFonts w:ascii="arial" w:hAnsi="arial"/>
                <w:sz w:val="20"/>
              </w:rPr>
            </w:pPr>
            <w:r>
              <w:rPr>
                <w:rFonts w:ascii="arial" w:hAnsi="arial"/>
                <w:sz w:val="20"/>
              </w:rPr>
              <w:t>Jason R. Niswonger</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454,231</w:t>
            </w:r>
          </w:p>
        </w:tc>
        <w:tc>
          <w:tcPr>
            <w:tcW w:w="2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499,865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278,284</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24,767</w:t>
            </w:r>
          </w:p>
        </w:tc>
        <w:tc>
          <w:tcPr>
            <w:tcW w:w="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1,257,147</w:t>
            </w:r>
          </w:p>
        </w:tc>
        <w:tc>
          <w:tcPr>
            <w:tcW w:w="38" w:type="dxa"/>
            <w:tcBorders/>
            <w:vAlign w:val="center"/>
          </w:tcPr>
          <w:p>
            <w:pPr>
              <w:pStyle w:val="TableContents"/>
              <w:bidi w:val="0"/>
              <w:spacing w:before="0" w:after="283"/>
              <w:jc w:val="left"/>
              <w:rPr>
                <w:sz w:val="4"/>
                <w:szCs w:val="4"/>
              </w:rPr>
            </w:pPr>
            <w:r>
              <w:rPr>
                <w:sz w:val="4"/>
                <w:szCs w:val="4"/>
              </w:rPr>
            </w:r>
          </w:p>
        </w:tc>
      </w:tr>
      <w:tr>
        <w:trPr/>
        <w:tc>
          <w:tcPr>
            <w:tcW w:w="3284" w:type="dxa"/>
            <w:tcBorders/>
            <w:vAlign w:val="center"/>
          </w:tcPr>
          <w:p>
            <w:pPr>
              <w:pStyle w:val="TableContents"/>
              <w:bidi w:val="0"/>
              <w:spacing w:before="0" w:after="283"/>
              <w:jc w:val="left"/>
              <w:rPr>
                <w:sz w:val="4"/>
                <w:szCs w:val="4"/>
              </w:rPr>
            </w:pPr>
            <w:r>
              <w:rPr>
                <w:sz w:val="4"/>
                <w:szCs w:val="4"/>
              </w:rPr>
            </w:r>
          </w:p>
        </w:tc>
        <w:tc>
          <w:tcPr>
            <w:tcW w:w="629" w:type="dxa"/>
            <w:gridSpan w:val="5"/>
            <w:tcBorders/>
            <w:vAlign w:val="center"/>
          </w:tcPr>
          <w:p>
            <w:pPr>
              <w:pStyle w:val="TableContents"/>
              <w:bidi w:val="0"/>
              <w:spacing w:before="0" w:after="283"/>
              <w:jc w:val="left"/>
              <w:rPr>
                <w:sz w:val="4"/>
                <w:szCs w:val="4"/>
              </w:rPr>
            </w:pPr>
            <w:r>
              <w:rPr>
                <w:sz w:val="4"/>
                <w:szCs w:val="4"/>
              </w:rPr>
            </w:r>
          </w:p>
        </w:tc>
        <w:tc>
          <w:tcPr>
            <w:tcW w:w="103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3284" w:type="dxa"/>
            <w:tcBorders/>
            <w:vAlign w:val="center"/>
          </w:tcPr>
          <w:p>
            <w:pPr>
              <w:pStyle w:val="TableContents"/>
              <w:bidi w:val="0"/>
              <w:spacing w:before="0" w:after="0"/>
              <w:jc w:val="left"/>
              <w:rPr>
                <w:rFonts w:ascii="arial" w:hAnsi="arial"/>
                <w:sz w:val="20"/>
              </w:rPr>
            </w:pPr>
            <w:r>
              <w:rPr>
                <w:rFonts w:ascii="arial" w:hAnsi="arial"/>
                <w:sz w:val="20"/>
              </w:rPr>
              <w:t>Chief Administrative and Sustainability Officer</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416,923</w:t>
            </w:r>
          </w:p>
        </w:tc>
        <w:tc>
          <w:tcPr>
            <w:tcW w:w="2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437,011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282,490</w:t>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25,536</w:t>
            </w:r>
          </w:p>
        </w:tc>
        <w:tc>
          <w:tcPr>
            <w:tcW w:w="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1,161,959</w:t>
            </w:r>
          </w:p>
        </w:tc>
        <w:tc>
          <w:tcPr>
            <w:tcW w:w="38" w:type="dxa"/>
            <w:tcBorders/>
            <w:vAlign w:val="center"/>
          </w:tcPr>
          <w:p>
            <w:pPr>
              <w:pStyle w:val="TableContents"/>
              <w:bidi w:val="0"/>
              <w:spacing w:before="0" w:after="283"/>
              <w:jc w:val="left"/>
              <w:rPr>
                <w:sz w:val="4"/>
                <w:szCs w:val="4"/>
              </w:rPr>
            </w:pPr>
            <w:r>
              <w:rPr>
                <w:sz w:val="4"/>
                <w:szCs w:val="4"/>
              </w:rPr>
            </w:r>
          </w:p>
        </w:tc>
      </w:tr>
      <w:tr>
        <w:trPr/>
        <w:tc>
          <w:tcPr>
            <w:tcW w:w="3284" w:type="dxa"/>
            <w:tcBorders/>
            <w:vAlign w:val="center"/>
          </w:tcPr>
          <w:p>
            <w:pPr>
              <w:pStyle w:val="TableContents"/>
              <w:bidi w:val="0"/>
              <w:spacing w:before="0" w:after="283"/>
              <w:jc w:val="left"/>
              <w:rPr>
                <w:sz w:val="4"/>
                <w:szCs w:val="4"/>
              </w:rPr>
            </w:pPr>
            <w:r>
              <w:rPr>
                <w:sz w:val="4"/>
                <w:szCs w:val="4"/>
              </w:rPr>
            </w:r>
          </w:p>
        </w:tc>
        <w:tc>
          <w:tcPr>
            <w:tcW w:w="629" w:type="dxa"/>
            <w:gridSpan w:val="5"/>
            <w:tcBorders/>
            <w:vAlign w:val="center"/>
          </w:tcPr>
          <w:p>
            <w:pPr>
              <w:pStyle w:val="TableContents"/>
              <w:bidi w:val="0"/>
              <w:spacing w:before="0" w:after="283"/>
              <w:jc w:val="left"/>
              <w:rPr>
                <w:sz w:val="4"/>
                <w:szCs w:val="4"/>
              </w:rPr>
            </w:pPr>
            <w:r>
              <w:rPr>
                <w:sz w:val="4"/>
                <w:szCs w:val="4"/>
              </w:rPr>
            </w:r>
          </w:p>
        </w:tc>
        <w:tc>
          <w:tcPr>
            <w:tcW w:w="103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51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3284"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1070B8"/>
            </w:tcBorders>
            <w:tcMar>
              <w:bottom w:w="80" w:type="dxa"/>
            </w:tcMar>
            <w:vAlign w:val="center"/>
          </w:tcPr>
          <w:p>
            <w:pPr>
              <w:pStyle w:val="TableContents"/>
              <w:bidi w:val="0"/>
              <w:spacing w:before="0" w:after="283"/>
              <w:jc w:val="left"/>
              <w:rPr/>
            </w:pPr>
            <w:r>
              <w:rPr/>
              <w:t> </w:t>
            </w:r>
          </w:p>
        </w:tc>
        <w:tc>
          <w:tcPr>
            <w:tcW w:w="500" w:type="dxa"/>
            <w:tcBorders>
              <w:bottom w:val="single" w:sz="12" w:space="0" w:color="1070B8"/>
            </w:tcBorders>
            <w:tcMar>
              <w:bottom w:w="80" w:type="dxa"/>
            </w:tcMar>
            <w:vAlign w:val="center"/>
          </w:tcPr>
          <w:p>
            <w:pPr>
              <w:pStyle w:val="TableContents"/>
              <w:bidi w:val="0"/>
              <w:spacing w:before="0" w:after="283"/>
              <w:jc w:val="right"/>
              <w:rPr/>
            </w:pPr>
            <w:r>
              <w:rPr/>
              <w:t>2022</w:t>
            </w:r>
          </w:p>
        </w:tc>
        <w:tc>
          <w:tcPr>
            <w:tcW w:w="23" w:type="dxa"/>
            <w:tcBorders>
              <w:bottom w:val="single" w:sz="12" w:space="0" w:color="1070B8"/>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12" w:space="0" w:color="1070B8"/>
            </w:tcBorders>
            <w:tcMar>
              <w:bottom w:w="80" w:type="dxa"/>
            </w:tcMar>
            <w:vAlign w:val="center"/>
          </w:tcPr>
          <w:p>
            <w:pPr>
              <w:pStyle w:val="TableContents"/>
              <w:bidi w:val="0"/>
              <w:spacing w:before="0" w:after="283"/>
              <w:jc w:val="left"/>
              <w:rPr/>
            </w:pPr>
            <w:r>
              <w:rPr/>
              <w:t> </w:t>
            </w:r>
          </w:p>
        </w:tc>
        <w:tc>
          <w:tcPr>
            <w:tcW w:w="891" w:type="dxa"/>
            <w:tcBorders>
              <w:bottom w:val="single" w:sz="12" w:space="0" w:color="1070B8"/>
            </w:tcBorders>
            <w:tcMar>
              <w:bottom w:w="80" w:type="dxa"/>
            </w:tcMar>
            <w:vAlign w:val="center"/>
          </w:tcPr>
          <w:p>
            <w:pPr>
              <w:pStyle w:val="TableContents"/>
              <w:bidi w:val="0"/>
              <w:spacing w:before="0" w:after="283"/>
              <w:jc w:val="right"/>
              <w:rPr/>
            </w:pPr>
            <w:r>
              <w:rPr/>
              <w:t>384,385</w:t>
            </w:r>
          </w:p>
        </w:tc>
        <w:tc>
          <w:tcPr>
            <w:tcW w:w="28" w:type="dxa"/>
            <w:tcBorders>
              <w:bottom w:val="single" w:sz="12" w:space="0" w:color="1070B8"/>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1070B8"/>
            </w:tcBorders>
            <w:tcMar>
              <w:bottom w:w="80" w:type="dxa"/>
            </w:tcMar>
            <w:vAlign w:val="center"/>
          </w:tcPr>
          <w:p>
            <w:pPr>
              <w:pStyle w:val="TableContents"/>
              <w:bidi w:val="0"/>
              <w:spacing w:before="0" w:after="283"/>
              <w:jc w:val="left"/>
              <w:rPr/>
            </w:pPr>
            <w:r>
              <w:rPr/>
              <w:t> </w:t>
            </w:r>
          </w:p>
        </w:tc>
        <w:tc>
          <w:tcPr>
            <w:tcW w:w="980" w:type="dxa"/>
            <w:tcBorders>
              <w:bottom w:val="single" w:sz="12" w:space="0" w:color="1070B8"/>
            </w:tcBorders>
            <w:tcMar>
              <w:bottom w:w="80" w:type="dxa"/>
            </w:tcMar>
            <w:vAlign w:val="center"/>
          </w:tcPr>
          <w:p>
            <w:pPr>
              <w:pStyle w:val="TableContents"/>
              <w:bidi w:val="0"/>
              <w:spacing w:before="0" w:after="283"/>
              <w:jc w:val="right"/>
              <w:rPr/>
            </w:pPr>
            <w:r>
              <w:rPr/>
              <w:t>315,119</w:t>
            </w:r>
          </w:p>
        </w:tc>
        <w:tc>
          <w:tcPr>
            <w:tcW w:w="23" w:type="dxa"/>
            <w:tcBorders>
              <w:bottom w:val="single" w:sz="12" w:space="0" w:color="1070B8"/>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12" w:space="0" w:color="1070B8"/>
            </w:tcBorders>
            <w:tcMar>
              <w:bottom w:w="80" w:type="dxa"/>
            </w:tcMar>
            <w:vAlign w:val="center"/>
          </w:tcPr>
          <w:p>
            <w:pPr>
              <w:pStyle w:val="TableContents"/>
              <w:bidi w:val="0"/>
              <w:spacing w:before="0" w:after="283"/>
              <w:jc w:val="left"/>
              <w:rPr/>
            </w:pPr>
            <w:r>
              <w:rPr/>
              <w:t> </w:t>
            </w:r>
          </w:p>
        </w:tc>
        <w:tc>
          <w:tcPr>
            <w:tcW w:w="1344" w:type="dxa"/>
            <w:tcBorders>
              <w:bottom w:val="single" w:sz="12" w:space="0" w:color="1070B8"/>
            </w:tcBorders>
            <w:tcMar>
              <w:bottom w:w="80" w:type="dxa"/>
            </w:tcMar>
            <w:vAlign w:val="center"/>
          </w:tcPr>
          <w:p>
            <w:pPr>
              <w:pStyle w:val="TableContents"/>
              <w:bidi w:val="0"/>
              <w:spacing w:before="0" w:after="283"/>
              <w:jc w:val="right"/>
              <w:rPr/>
            </w:pPr>
            <w:r>
              <w:rPr/>
              <w:t>197,050</w:t>
            </w:r>
          </w:p>
        </w:tc>
        <w:tc>
          <w:tcPr>
            <w:tcW w:w="33" w:type="dxa"/>
            <w:tcBorders>
              <w:bottom w:val="single" w:sz="12" w:space="0" w:color="1070B8"/>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12" w:space="0" w:color="1070B8"/>
            </w:tcBorders>
            <w:tcMar>
              <w:bottom w:w="80" w:type="dxa"/>
            </w:tcMar>
            <w:vAlign w:val="center"/>
          </w:tcPr>
          <w:p>
            <w:pPr>
              <w:pStyle w:val="TableContents"/>
              <w:bidi w:val="0"/>
              <w:spacing w:before="0" w:after="283"/>
              <w:jc w:val="left"/>
              <w:rPr/>
            </w:pPr>
            <w:r>
              <w:rPr/>
              <w:t> </w:t>
            </w:r>
          </w:p>
        </w:tc>
        <w:tc>
          <w:tcPr>
            <w:tcW w:w="1289" w:type="dxa"/>
            <w:tcBorders>
              <w:bottom w:val="single" w:sz="12" w:space="0" w:color="1070B8"/>
            </w:tcBorders>
            <w:tcMar>
              <w:bottom w:w="80" w:type="dxa"/>
            </w:tcMar>
            <w:vAlign w:val="center"/>
          </w:tcPr>
          <w:p>
            <w:pPr>
              <w:pStyle w:val="TableContents"/>
              <w:bidi w:val="0"/>
              <w:spacing w:before="0" w:after="283"/>
              <w:jc w:val="right"/>
              <w:rPr/>
            </w:pPr>
            <w:r>
              <w:rPr/>
              <w:t>12,153</w:t>
            </w:r>
          </w:p>
        </w:tc>
        <w:tc>
          <w:tcPr>
            <w:tcW w:w="45" w:type="dxa"/>
            <w:tcBorders>
              <w:bottom w:val="single" w:sz="12" w:space="0" w:color="1070B8"/>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1070B8"/>
            </w:tcBorders>
            <w:tcMar>
              <w:bottom w:w="80" w:type="dxa"/>
            </w:tcMar>
            <w:vAlign w:val="center"/>
          </w:tcPr>
          <w:p>
            <w:pPr>
              <w:pStyle w:val="TableContents"/>
              <w:bidi w:val="0"/>
              <w:spacing w:before="0" w:after="283"/>
              <w:jc w:val="left"/>
              <w:rPr/>
            </w:pPr>
            <w:r>
              <w:rPr/>
              <w:t> </w:t>
            </w:r>
          </w:p>
        </w:tc>
        <w:tc>
          <w:tcPr>
            <w:tcW w:w="980" w:type="dxa"/>
            <w:tcBorders>
              <w:bottom w:val="single" w:sz="12" w:space="0" w:color="1070B8"/>
            </w:tcBorders>
            <w:tcMar>
              <w:bottom w:w="80" w:type="dxa"/>
            </w:tcMar>
            <w:vAlign w:val="center"/>
          </w:tcPr>
          <w:p>
            <w:pPr>
              <w:pStyle w:val="TableContents"/>
              <w:bidi w:val="0"/>
              <w:spacing w:before="0" w:after="283"/>
              <w:jc w:val="right"/>
              <w:rPr/>
            </w:pPr>
            <w:r>
              <w:rPr/>
              <w:t>908,706</w:t>
            </w:r>
          </w:p>
        </w:tc>
        <w:tc>
          <w:tcPr>
            <w:tcW w:w="38" w:type="dxa"/>
            <w:tcBorders>
              <w:bottom w:val="single" w:sz="12" w:space="0" w:color="1070B8"/>
            </w:tcBorders>
            <w:tcMar>
              <w:bottom w:w="8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0"/>
              <w:jc w:val="left"/>
              <w:rPr>
                <w:rFonts w:ascii="arial" w:hAnsi="arial"/>
                <w:sz w:val="20"/>
              </w:rPr>
            </w:pPr>
            <w:r>
              <w:rPr>
                <w:rFonts w:ascii="arial" w:hAnsi="arial"/>
                <w:sz w:val="20"/>
              </w:rPr>
              <w:t xml:space="preserve">Amounts in this column for 2024 represent the aggregate grant date fair value of performance-based restricted stock awards granted February 20, 2024 based on 2024 performance metrics, computed in accordance with FASB ASC Topic 718. The grant date fair value was determined by multiplying the number of shares of common stock that would be earned based on the probable outcome of the performance conditions(i.e., target) by the closing price of $205.96 on the grant date. The amounts shown in this column do not reflect compensation actually received by the NEOs. The actual value, if any, that an NEO may realize from an award is contingent upon the satisfaction of the vesting conditions and the value of the underlying shares if and when the award vests. Thus, the value eventually realized by the NEOs is unlikely to equal amounts shown in these columns. The grant date fair value for each NEO, assuming the achievement of maximum performance levels, is as follows: Mr. Edwards, $7,999,898; Mr. Miller, $2,499,942; Mr. Wheeler, $1,919,135; Mr. Hire, $549,913; and Mr. Niswonger, $999,730. See </w:t>
            </w:r>
            <w:r>
              <w:rPr>
                <w:rFonts w:ascii="arial" w:hAnsi="arial"/>
                <w:i/>
                <w:sz w:val="20"/>
              </w:rPr>
              <w:t>Compensation Discussion and Analysis – “Section</w:t>
            </w:r>
            <w:r>
              <w:rPr>
                <w:rFonts w:ascii="arial" w:hAnsi="arial"/>
                <w:sz w:val="20"/>
              </w:rPr>
              <w:t> </w:t>
            </w:r>
            <w:r>
              <w:rPr>
                <w:rFonts w:ascii="arial" w:hAnsi="arial"/>
                <w:i/>
                <w:sz w:val="20"/>
              </w:rPr>
              <w:t>4 – What We Paid in 2024 – 2024 Performance-Based Incentive Equity Awards,” and</w:t>
            </w:r>
            <w:r>
              <w:rPr>
                <w:rFonts w:ascii="arial" w:hAnsi="arial"/>
                <w:sz w:val="20"/>
              </w:rPr>
              <w:t xml:space="preserve"> “</w:t>
            </w:r>
            <w:r>
              <w:rPr>
                <w:rFonts w:ascii="arial" w:hAnsi="arial"/>
                <w:i/>
                <w:sz w:val="20"/>
              </w:rPr>
              <w:t>Grants of Plan-Based Awards for 2024</w:t>
            </w:r>
            <w:r>
              <w:rPr>
                <w:rFonts w:ascii="arial" w:hAnsi="arial"/>
                <w:sz w:val="20"/>
              </w:rPr>
              <w:t>” and “</w:t>
            </w:r>
            <w:r>
              <w:rPr>
                <w:rFonts w:ascii="arial" w:hAnsi="arial"/>
                <w:i/>
                <w:sz w:val="20"/>
              </w:rPr>
              <w:t>Potential Payments Upon Termination or Change in Control</w:t>
            </w:r>
            <w:r>
              <w:rPr>
                <w:rFonts w:ascii="arial" w:hAnsi="arial"/>
                <w:sz w:val="20"/>
              </w:rPr>
              <w:t xml:space="preserve">” below for more information concerning the restricted stock awarded in 2024.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290"/>
        <w:gridCol w:w="96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9635" w:type="dxa"/>
            <w:tcBorders/>
            <w:vAlign w:val="center"/>
          </w:tcPr>
          <w:p>
            <w:pPr>
              <w:pStyle w:val="TableContents"/>
              <w:bidi w:val="0"/>
              <w:spacing w:before="0" w:after="0"/>
              <w:jc w:val="left"/>
              <w:rPr>
                <w:rFonts w:ascii="arial" w:hAnsi="arial"/>
                <w:sz w:val="20"/>
              </w:rPr>
            </w:pPr>
            <w:r>
              <w:rPr>
                <w:rFonts w:ascii="arial" w:hAnsi="arial"/>
                <w:sz w:val="20"/>
              </w:rPr>
              <w:t xml:space="preserve">Amounts in this column represent the performance-based cash incentives earned in the applicable fiscal year.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Executive Compensation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800" w:type="dxa"/>
        <w:jc w:val="left"/>
        <w:tblInd w:w="0" w:type="dxa"/>
        <w:tblLayout w:type="fixed"/>
        <w:tblCellMar>
          <w:top w:w="0" w:type="dxa"/>
          <w:left w:w="0" w:type="dxa"/>
          <w:bottom w:w="0" w:type="dxa"/>
          <w:right w:w="0" w:type="dxa"/>
        </w:tblCellMar>
      </w:tblPr>
      <w:tblGrid>
        <w:gridCol w:w="75"/>
        <w:gridCol w:w="290"/>
        <w:gridCol w:w="84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8435" w:type="dxa"/>
            <w:tcBorders/>
            <w:vAlign w:val="center"/>
          </w:tcPr>
          <w:p>
            <w:pPr>
              <w:pStyle w:val="TableContents"/>
              <w:bidi w:val="0"/>
              <w:spacing w:before="0" w:after="0"/>
              <w:jc w:val="left"/>
              <w:rPr>
                <w:rFonts w:ascii="arial" w:hAnsi="arial"/>
                <w:sz w:val="20"/>
              </w:rPr>
            </w:pPr>
            <w:r>
              <w:rPr>
                <w:rFonts w:ascii="arial" w:hAnsi="arial"/>
                <w:sz w:val="20"/>
              </w:rPr>
              <w:t xml:space="preserve">The following table describes each component of the “All Other Compensation” column for 2024. </w:t>
            </w:r>
          </w:p>
        </w:tc>
      </w:tr>
    </w:tbl>
    <w:p>
      <w:pPr>
        <w:pStyle w:val="TextBody"/>
        <w:bidi w:val="0"/>
        <w:spacing w:before="0" w:after="0"/>
        <w:jc w:val="left"/>
        <w:rPr/>
      </w:pPr>
      <w:r>
        <w:rPr/>
        <w:t> </w:t>
      </w:r>
    </w:p>
    <w:tbl>
      <w:tblPr>
        <w:tblW w:w="8362" w:type="dxa"/>
        <w:jc w:val="left"/>
        <w:tblInd w:w="0" w:type="dxa"/>
        <w:tblLayout w:type="fixed"/>
        <w:tblCellMar>
          <w:top w:w="0" w:type="dxa"/>
          <w:left w:w="0" w:type="dxa"/>
          <w:bottom w:w="0" w:type="dxa"/>
          <w:right w:w="0" w:type="dxa"/>
        </w:tblCellMar>
      </w:tblPr>
      <w:tblGrid>
        <w:gridCol w:w="1895"/>
        <w:gridCol w:w="23"/>
        <w:gridCol w:w="29"/>
        <w:gridCol w:w="78"/>
        <w:gridCol w:w="886"/>
        <w:gridCol w:w="32"/>
        <w:gridCol w:w="23"/>
        <w:gridCol w:w="35"/>
        <w:gridCol w:w="93"/>
        <w:gridCol w:w="874"/>
        <w:gridCol w:w="38"/>
        <w:gridCol w:w="23"/>
        <w:gridCol w:w="35"/>
        <w:gridCol w:w="92"/>
        <w:gridCol w:w="861"/>
        <w:gridCol w:w="37"/>
        <w:gridCol w:w="23"/>
        <w:gridCol w:w="24"/>
        <w:gridCol w:w="63"/>
        <w:gridCol w:w="596"/>
        <w:gridCol w:w="26"/>
        <w:gridCol w:w="23"/>
        <w:gridCol w:w="35"/>
        <w:gridCol w:w="92"/>
        <w:gridCol w:w="861"/>
        <w:gridCol w:w="37"/>
        <w:gridCol w:w="23"/>
        <w:gridCol w:w="43"/>
        <w:gridCol w:w="112"/>
        <w:gridCol w:w="1277"/>
        <w:gridCol w:w="73"/>
      </w:tblGrid>
      <w:tr>
        <w:trPr/>
        <w:tc>
          <w:tcPr>
            <w:tcW w:w="18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tcMar>
              <w:bottom w:w="80" w:type="dxa"/>
            </w:tcMar>
            <w:vAlign w:val="center"/>
          </w:tcPr>
          <w:p>
            <w:pPr>
              <w:pStyle w:val="TableContents"/>
              <w:bidi w:val="0"/>
              <w:spacing w:before="0" w:after="283"/>
              <w:jc w:val="left"/>
              <w:rPr>
                <w:b/>
                <w:color w:val="1F295C"/>
              </w:rPr>
            </w:pPr>
            <w:r>
              <w:rPr>
                <w:b/>
                <w:color w:val="1F295C"/>
              </w:rPr>
              <w:t>Name</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025"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Company</w:t>
              <w:br/>
              <w:t>Car</w:t>
              <w:br/>
              <w:t>($)</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040"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Company</w:t>
              <w:br/>
              <w:t>Paid Car</w:t>
              <w:br/>
              <w:t>Insurance</w:t>
              <w:br/>
              <w:t>($)</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025"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Company</w:t>
              <w:br/>
              <w:t>Paid</w:t>
              <w:br/>
              <w:t>Parking</w:t>
              <w:br/>
              <w:t>($)</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709"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401(K)</w:t>
              <w:br/>
              <w:t>Match</w:t>
              <w:br/>
              <w:t>($)</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025"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Company</w:t>
              <w:br/>
              <w:t>Paid</w:t>
              <w:br/>
              <w:t>Mobile</w:t>
              <w:br/>
              <w:t>Phone</w:t>
              <w:br/>
              <w:t>($)</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505"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All Other</w:t>
              <w:br/>
              <w:t>Compensation</w:t>
              <w:br/>
              <w:t>($)</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732" w:type="dxa"/>
            <w:gridSpan w:val="5"/>
            <w:tcBorders/>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152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Jeffrey W. Edwards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000000"/>
            </w:tcBorders>
            <w:tcMar>
              <w:bottom w:w="80" w:type="dxa"/>
            </w:tcMar>
            <w:vAlign w:val="center"/>
          </w:tcPr>
          <w:p>
            <w:pPr>
              <w:pStyle w:val="TableContents"/>
              <w:bidi w:val="0"/>
              <w:spacing w:before="0" w:after="283"/>
              <w:jc w:val="left"/>
              <w:rPr/>
            </w:pPr>
            <w:r>
              <w:rPr/>
              <w:t> </w:t>
            </w:r>
          </w:p>
        </w:tc>
        <w:tc>
          <w:tcPr>
            <w:tcW w:w="886" w:type="dxa"/>
            <w:tcBorders>
              <w:bottom w:val="single" w:sz="6" w:space="0" w:color="000000"/>
            </w:tcBorders>
            <w:tcMar>
              <w:bottom w:w="80" w:type="dxa"/>
            </w:tcMar>
            <w:vAlign w:val="center"/>
          </w:tcPr>
          <w:p>
            <w:pPr>
              <w:pStyle w:val="TableContents"/>
              <w:bidi w:val="0"/>
              <w:spacing w:before="0" w:after="283"/>
              <w:jc w:val="right"/>
              <w:rPr/>
            </w:pPr>
            <w:r>
              <w:rPr/>
              <w:t>30,399</w:t>
            </w:r>
          </w:p>
        </w:tc>
        <w:tc>
          <w:tcPr>
            <w:tcW w:w="3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80" w:type="dxa"/>
            </w:tcMar>
            <w:vAlign w:val="center"/>
          </w:tcPr>
          <w:p>
            <w:pPr>
              <w:pStyle w:val="TableContents"/>
              <w:bidi w:val="0"/>
              <w:spacing w:before="0" w:after="283"/>
              <w:jc w:val="left"/>
              <w:rPr/>
            </w:pPr>
            <w:r>
              <w:rPr/>
              <w:t> </w:t>
            </w:r>
          </w:p>
        </w:tc>
        <w:tc>
          <w:tcPr>
            <w:tcW w:w="874" w:type="dxa"/>
            <w:tcBorders>
              <w:bottom w:val="single" w:sz="6" w:space="0" w:color="000000"/>
            </w:tcBorders>
            <w:tcMar>
              <w:bottom w:w="80" w:type="dxa"/>
            </w:tcMar>
            <w:vAlign w:val="center"/>
          </w:tcPr>
          <w:p>
            <w:pPr>
              <w:pStyle w:val="TableContents"/>
              <w:bidi w:val="0"/>
              <w:spacing w:before="0" w:after="283"/>
              <w:jc w:val="right"/>
              <w:rPr/>
            </w:pPr>
            <w:r>
              <w:rPr/>
              <w:t>2,762</w:t>
            </w:r>
          </w:p>
        </w:tc>
        <w:tc>
          <w:tcPr>
            <w:tcW w:w="38"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 w:type="dxa"/>
            <w:tcBorders>
              <w:bottom w:val="single" w:sz="6" w:space="0" w:color="000000"/>
            </w:tcBorders>
            <w:tcMar>
              <w:bottom w:w="80" w:type="dxa"/>
            </w:tcMar>
            <w:vAlign w:val="center"/>
          </w:tcPr>
          <w:p>
            <w:pPr>
              <w:pStyle w:val="TableContents"/>
              <w:bidi w:val="0"/>
              <w:spacing w:before="0" w:after="283"/>
              <w:jc w:val="left"/>
              <w:rPr/>
            </w:pPr>
            <w:r>
              <w:rPr/>
              <w:t> </w:t>
            </w:r>
          </w:p>
        </w:tc>
        <w:tc>
          <w:tcPr>
            <w:tcW w:w="861" w:type="dxa"/>
            <w:tcBorders>
              <w:bottom w:val="single" w:sz="6" w:space="0" w:color="000000"/>
            </w:tcBorders>
            <w:tcMar>
              <w:bottom w:w="80" w:type="dxa"/>
            </w:tcMar>
            <w:vAlign w:val="center"/>
          </w:tcPr>
          <w:p>
            <w:pPr>
              <w:pStyle w:val="TableContents"/>
              <w:bidi w:val="0"/>
              <w:spacing w:before="0" w:after="283"/>
              <w:jc w:val="right"/>
              <w:rPr/>
            </w:pPr>
            <w:r>
              <w:rPr/>
              <w:t>-</w:t>
            </w:r>
          </w:p>
        </w:tc>
        <w:tc>
          <w:tcPr>
            <w:tcW w:w="37"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80" w:type="dxa"/>
            </w:tcMar>
            <w:vAlign w:val="center"/>
          </w:tcPr>
          <w:p>
            <w:pPr>
              <w:pStyle w:val="TableContents"/>
              <w:bidi w:val="0"/>
              <w:spacing w:before="0" w:after="283"/>
              <w:jc w:val="left"/>
              <w:rPr/>
            </w:pPr>
            <w:r>
              <w:rPr/>
              <w:t> </w:t>
            </w:r>
          </w:p>
        </w:tc>
        <w:tc>
          <w:tcPr>
            <w:tcW w:w="596" w:type="dxa"/>
            <w:tcBorders>
              <w:bottom w:val="single" w:sz="6" w:space="0" w:color="000000"/>
            </w:tcBorders>
            <w:tcMar>
              <w:bottom w:w="80" w:type="dxa"/>
            </w:tcMar>
            <w:vAlign w:val="center"/>
          </w:tcPr>
          <w:p>
            <w:pPr>
              <w:pStyle w:val="TableContents"/>
              <w:bidi w:val="0"/>
              <w:spacing w:before="0" w:after="283"/>
              <w:jc w:val="right"/>
              <w:rPr/>
            </w:pPr>
            <w:r>
              <w:rPr/>
              <w:t>1,193</w:t>
            </w:r>
          </w:p>
        </w:tc>
        <w:tc>
          <w:tcPr>
            <w:tcW w:w="26"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 w:type="dxa"/>
            <w:tcBorders>
              <w:bottom w:val="single" w:sz="6" w:space="0" w:color="000000"/>
            </w:tcBorders>
            <w:tcMar>
              <w:bottom w:w="80" w:type="dxa"/>
            </w:tcMar>
            <w:vAlign w:val="center"/>
          </w:tcPr>
          <w:p>
            <w:pPr>
              <w:pStyle w:val="TableContents"/>
              <w:bidi w:val="0"/>
              <w:spacing w:before="0" w:after="283"/>
              <w:jc w:val="left"/>
              <w:rPr/>
            </w:pPr>
            <w:r>
              <w:rPr/>
              <w:t> </w:t>
            </w:r>
          </w:p>
        </w:tc>
        <w:tc>
          <w:tcPr>
            <w:tcW w:w="861" w:type="dxa"/>
            <w:tcBorders>
              <w:bottom w:val="single" w:sz="6" w:space="0" w:color="000000"/>
            </w:tcBorders>
            <w:tcMar>
              <w:bottom w:w="80" w:type="dxa"/>
            </w:tcMar>
            <w:vAlign w:val="center"/>
          </w:tcPr>
          <w:p>
            <w:pPr>
              <w:pStyle w:val="TableContents"/>
              <w:bidi w:val="0"/>
              <w:spacing w:before="0" w:after="283"/>
              <w:jc w:val="right"/>
              <w:rPr/>
            </w:pPr>
            <w:r>
              <w:rPr/>
              <w:t>8,477</w:t>
            </w:r>
          </w:p>
        </w:tc>
        <w:tc>
          <w:tcPr>
            <w:tcW w:w="37"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000000"/>
            </w:tcBorders>
            <w:tcMar>
              <w:bottom w:w="80" w:type="dxa"/>
            </w:tcMar>
            <w:vAlign w:val="center"/>
          </w:tcPr>
          <w:p>
            <w:pPr>
              <w:pStyle w:val="TableContents"/>
              <w:bidi w:val="0"/>
              <w:spacing w:before="0" w:after="283"/>
              <w:jc w:val="left"/>
              <w:rPr/>
            </w:pPr>
            <w:r>
              <w:rPr/>
              <w:t> </w:t>
            </w:r>
          </w:p>
        </w:tc>
        <w:tc>
          <w:tcPr>
            <w:tcW w:w="1277" w:type="dxa"/>
            <w:tcBorders>
              <w:bottom w:val="single" w:sz="6" w:space="0" w:color="000000"/>
            </w:tcBorders>
            <w:tcMar>
              <w:bottom w:w="80" w:type="dxa"/>
            </w:tcMar>
            <w:vAlign w:val="center"/>
          </w:tcPr>
          <w:p>
            <w:pPr>
              <w:pStyle w:val="TableContents"/>
              <w:bidi w:val="0"/>
              <w:spacing w:before="0" w:after="283"/>
              <w:jc w:val="right"/>
              <w:rPr/>
            </w:pPr>
            <w:r>
              <w:rPr/>
              <w:t>42,832</w:t>
            </w:r>
          </w:p>
        </w:tc>
        <w:tc>
          <w:tcPr>
            <w:tcW w:w="7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732" w:type="dxa"/>
            <w:gridSpan w:val="5"/>
            <w:tcBorders/>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152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Michael T. Miller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000000"/>
            </w:tcBorders>
            <w:tcMar>
              <w:bottom w:w="80" w:type="dxa"/>
            </w:tcMar>
            <w:vAlign w:val="center"/>
          </w:tcPr>
          <w:p>
            <w:pPr>
              <w:pStyle w:val="TableContents"/>
              <w:bidi w:val="0"/>
              <w:spacing w:before="0" w:after="283"/>
              <w:jc w:val="left"/>
              <w:rPr/>
            </w:pPr>
            <w:r>
              <w:rPr/>
              <w:t> </w:t>
            </w:r>
          </w:p>
        </w:tc>
        <w:tc>
          <w:tcPr>
            <w:tcW w:w="886" w:type="dxa"/>
            <w:tcBorders>
              <w:bottom w:val="single" w:sz="6" w:space="0" w:color="000000"/>
            </w:tcBorders>
            <w:tcMar>
              <w:bottom w:w="80" w:type="dxa"/>
            </w:tcMar>
            <w:vAlign w:val="center"/>
          </w:tcPr>
          <w:p>
            <w:pPr>
              <w:pStyle w:val="TableContents"/>
              <w:bidi w:val="0"/>
              <w:spacing w:before="0" w:after="283"/>
              <w:jc w:val="right"/>
              <w:rPr/>
            </w:pPr>
            <w:r>
              <w:rPr/>
              <w:t>15,451</w:t>
            </w:r>
          </w:p>
        </w:tc>
        <w:tc>
          <w:tcPr>
            <w:tcW w:w="3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80" w:type="dxa"/>
            </w:tcMar>
            <w:vAlign w:val="center"/>
          </w:tcPr>
          <w:p>
            <w:pPr>
              <w:pStyle w:val="TableContents"/>
              <w:bidi w:val="0"/>
              <w:spacing w:before="0" w:after="283"/>
              <w:jc w:val="left"/>
              <w:rPr/>
            </w:pPr>
            <w:r>
              <w:rPr/>
              <w:t> </w:t>
            </w:r>
          </w:p>
        </w:tc>
        <w:tc>
          <w:tcPr>
            <w:tcW w:w="874" w:type="dxa"/>
            <w:tcBorders>
              <w:bottom w:val="single" w:sz="6" w:space="0" w:color="000000"/>
            </w:tcBorders>
            <w:tcMar>
              <w:bottom w:w="80" w:type="dxa"/>
            </w:tcMar>
            <w:vAlign w:val="center"/>
          </w:tcPr>
          <w:p>
            <w:pPr>
              <w:pStyle w:val="TableContents"/>
              <w:bidi w:val="0"/>
              <w:spacing w:before="0" w:after="283"/>
              <w:jc w:val="right"/>
              <w:rPr/>
            </w:pPr>
            <w:r>
              <w:rPr/>
              <w:t>2,762</w:t>
            </w:r>
          </w:p>
        </w:tc>
        <w:tc>
          <w:tcPr>
            <w:tcW w:w="38"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 w:type="dxa"/>
            <w:tcBorders>
              <w:bottom w:val="single" w:sz="6" w:space="0" w:color="000000"/>
            </w:tcBorders>
            <w:tcMar>
              <w:bottom w:w="80" w:type="dxa"/>
            </w:tcMar>
            <w:vAlign w:val="center"/>
          </w:tcPr>
          <w:p>
            <w:pPr>
              <w:pStyle w:val="TableContents"/>
              <w:bidi w:val="0"/>
              <w:spacing w:before="0" w:after="283"/>
              <w:jc w:val="left"/>
              <w:rPr/>
            </w:pPr>
            <w:r>
              <w:rPr/>
              <w:t> </w:t>
            </w:r>
          </w:p>
        </w:tc>
        <w:tc>
          <w:tcPr>
            <w:tcW w:w="861" w:type="dxa"/>
            <w:tcBorders>
              <w:bottom w:val="single" w:sz="6" w:space="0" w:color="000000"/>
            </w:tcBorders>
            <w:tcMar>
              <w:bottom w:w="80" w:type="dxa"/>
            </w:tcMar>
            <w:vAlign w:val="center"/>
          </w:tcPr>
          <w:p>
            <w:pPr>
              <w:pStyle w:val="TableContents"/>
              <w:bidi w:val="0"/>
              <w:spacing w:before="0" w:after="283"/>
              <w:jc w:val="right"/>
              <w:rPr/>
            </w:pPr>
            <w:r>
              <w:rPr/>
              <w:t>-</w:t>
            </w:r>
          </w:p>
        </w:tc>
        <w:tc>
          <w:tcPr>
            <w:tcW w:w="37"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80" w:type="dxa"/>
            </w:tcMar>
            <w:vAlign w:val="center"/>
          </w:tcPr>
          <w:p>
            <w:pPr>
              <w:pStyle w:val="TableContents"/>
              <w:bidi w:val="0"/>
              <w:spacing w:before="0" w:after="283"/>
              <w:jc w:val="left"/>
              <w:rPr/>
            </w:pPr>
            <w:r>
              <w:rPr/>
              <w:t> </w:t>
            </w:r>
          </w:p>
        </w:tc>
        <w:tc>
          <w:tcPr>
            <w:tcW w:w="596" w:type="dxa"/>
            <w:tcBorders>
              <w:bottom w:val="single" w:sz="6" w:space="0" w:color="000000"/>
            </w:tcBorders>
            <w:tcMar>
              <w:bottom w:w="80" w:type="dxa"/>
            </w:tcMar>
            <w:vAlign w:val="center"/>
          </w:tcPr>
          <w:p>
            <w:pPr>
              <w:pStyle w:val="TableContents"/>
              <w:bidi w:val="0"/>
              <w:spacing w:before="0" w:after="283"/>
              <w:jc w:val="right"/>
              <w:rPr/>
            </w:pPr>
            <w:r>
              <w:rPr/>
              <w:t>1,722</w:t>
            </w:r>
          </w:p>
        </w:tc>
        <w:tc>
          <w:tcPr>
            <w:tcW w:w="26"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 w:type="dxa"/>
            <w:tcBorders>
              <w:bottom w:val="single" w:sz="6" w:space="0" w:color="000000"/>
            </w:tcBorders>
            <w:tcMar>
              <w:bottom w:w="80" w:type="dxa"/>
            </w:tcMar>
            <w:vAlign w:val="center"/>
          </w:tcPr>
          <w:p>
            <w:pPr>
              <w:pStyle w:val="TableContents"/>
              <w:bidi w:val="0"/>
              <w:spacing w:before="0" w:after="283"/>
              <w:jc w:val="left"/>
              <w:rPr/>
            </w:pPr>
            <w:r>
              <w:rPr/>
              <w:t> </w:t>
            </w:r>
          </w:p>
        </w:tc>
        <w:tc>
          <w:tcPr>
            <w:tcW w:w="861" w:type="dxa"/>
            <w:tcBorders>
              <w:bottom w:val="single" w:sz="6" w:space="0" w:color="000000"/>
            </w:tcBorders>
            <w:tcMar>
              <w:bottom w:w="80" w:type="dxa"/>
            </w:tcMar>
            <w:vAlign w:val="center"/>
          </w:tcPr>
          <w:p>
            <w:pPr>
              <w:pStyle w:val="TableContents"/>
              <w:bidi w:val="0"/>
              <w:spacing w:before="0" w:after="283"/>
              <w:jc w:val="right"/>
              <w:rPr/>
            </w:pPr>
            <w:r>
              <w:rPr/>
              <w:t>1,090</w:t>
            </w:r>
          </w:p>
        </w:tc>
        <w:tc>
          <w:tcPr>
            <w:tcW w:w="37"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000000"/>
            </w:tcBorders>
            <w:tcMar>
              <w:bottom w:w="80" w:type="dxa"/>
            </w:tcMar>
            <w:vAlign w:val="center"/>
          </w:tcPr>
          <w:p>
            <w:pPr>
              <w:pStyle w:val="TableContents"/>
              <w:bidi w:val="0"/>
              <w:spacing w:before="0" w:after="283"/>
              <w:jc w:val="left"/>
              <w:rPr/>
            </w:pPr>
            <w:r>
              <w:rPr/>
              <w:t> </w:t>
            </w:r>
          </w:p>
        </w:tc>
        <w:tc>
          <w:tcPr>
            <w:tcW w:w="1277" w:type="dxa"/>
            <w:tcBorders>
              <w:bottom w:val="single" w:sz="6" w:space="0" w:color="000000"/>
            </w:tcBorders>
            <w:tcMar>
              <w:bottom w:w="80" w:type="dxa"/>
            </w:tcMar>
            <w:vAlign w:val="center"/>
          </w:tcPr>
          <w:p>
            <w:pPr>
              <w:pStyle w:val="TableContents"/>
              <w:bidi w:val="0"/>
              <w:spacing w:before="0" w:after="283"/>
              <w:jc w:val="right"/>
              <w:rPr/>
            </w:pPr>
            <w:r>
              <w:rPr/>
              <w:t>21,025</w:t>
            </w:r>
          </w:p>
        </w:tc>
        <w:tc>
          <w:tcPr>
            <w:tcW w:w="7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732" w:type="dxa"/>
            <w:gridSpan w:val="5"/>
            <w:tcBorders/>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152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Brad A. Wheeler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000000"/>
            </w:tcBorders>
            <w:tcMar>
              <w:bottom w:w="80" w:type="dxa"/>
            </w:tcMar>
            <w:vAlign w:val="center"/>
          </w:tcPr>
          <w:p>
            <w:pPr>
              <w:pStyle w:val="TableContents"/>
              <w:bidi w:val="0"/>
              <w:spacing w:before="0" w:after="283"/>
              <w:jc w:val="left"/>
              <w:rPr/>
            </w:pPr>
            <w:r>
              <w:rPr/>
              <w:t> </w:t>
            </w:r>
          </w:p>
        </w:tc>
        <w:tc>
          <w:tcPr>
            <w:tcW w:w="886" w:type="dxa"/>
            <w:tcBorders>
              <w:bottom w:val="single" w:sz="6" w:space="0" w:color="000000"/>
            </w:tcBorders>
            <w:tcMar>
              <w:bottom w:w="80" w:type="dxa"/>
            </w:tcMar>
            <w:vAlign w:val="center"/>
          </w:tcPr>
          <w:p>
            <w:pPr>
              <w:pStyle w:val="TableContents"/>
              <w:bidi w:val="0"/>
              <w:spacing w:before="0" w:after="283"/>
              <w:jc w:val="right"/>
              <w:rPr/>
            </w:pPr>
            <w:r>
              <w:rPr/>
              <w:t>-</w:t>
            </w:r>
          </w:p>
        </w:tc>
        <w:tc>
          <w:tcPr>
            <w:tcW w:w="3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80" w:type="dxa"/>
            </w:tcMar>
            <w:vAlign w:val="center"/>
          </w:tcPr>
          <w:p>
            <w:pPr>
              <w:pStyle w:val="TableContents"/>
              <w:bidi w:val="0"/>
              <w:spacing w:before="0" w:after="283"/>
              <w:jc w:val="left"/>
              <w:rPr/>
            </w:pPr>
            <w:r>
              <w:rPr/>
              <w:t> </w:t>
            </w:r>
          </w:p>
        </w:tc>
        <w:tc>
          <w:tcPr>
            <w:tcW w:w="874" w:type="dxa"/>
            <w:tcBorders>
              <w:bottom w:val="single" w:sz="6" w:space="0" w:color="000000"/>
            </w:tcBorders>
            <w:tcMar>
              <w:bottom w:w="80" w:type="dxa"/>
            </w:tcMar>
            <w:vAlign w:val="center"/>
          </w:tcPr>
          <w:p>
            <w:pPr>
              <w:pStyle w:val="TableContents"/>
              <w:bidi w:val="0"/>
              <w:spacing w:before="0" w:after="283"/>
              <w:jc w:val="right"/>
              <w:rPr/>
            </w:pPr>
            <w:r>
              <w:rPr/>
              <w:t>-</w:t>
            </w:r>
          </w:p>
        </w:tc>
        <w:tc>
          <w:tcPr>
            <w:tcW w:w="38"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 w:type="dxa"/>
            <w:tcBorders>
              <w:bottom w:val="single" w:sz="6" w:space="0" w:color="000000"/>
            </w:tcBorders>
            <w:tcMar>
              <w:bottom w:w="80" w:type="dxa"/>
            </w:tcMar>
            <w:vAlign w:val="center"/>
          </w:tcPr>
          <w:p>
            <w:pPr>
              <w:pStyle w:val="TableContents"/>
              <w:bidi w:val="0"/>
              <w:spacing w:before="0" w:after="283"/>
              <w:jc w:val="left"/>
              <w:rPr/>
            </w:pPr>
            <w:r>
              <w:rPr/>
              <w:t> </w:t>
            </w:r>
          </w:p>
        </w:tc>
        <w:tc>
          <w:tcPr>
            <w:tcW w:w="861" w:type="dxa"/>
            <w:tcBorders>
              <w:bottom w:val="single" w:sz="6" w:space="0" w:color="000000"/>
            </w:tcBorders>
            <w:tcMar>
              <w:bottom w:w="80" w:type="dxa"/>
            </w:tcMar>
            <w:vAlign w:val="center"/>
          </w:tcPr>
          <w:p>
            <w:pPr>
              <w:pStyle w:val="TableContents"/>
              <w:bidi w:val="0"/>
              <w:spacing w:before="0" w:after="283"/>
              <w:jc w:val="right"/>
              <w:rPr/>
            </w:pPr>
            <w:r>
              <w:rPr/>
              <w:t>-</w:t>
            </w:r>
          </w:p>
        </w:tc>
        <w:tc>
          <w:tcPr>
            <w:tcW w:w="37"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80" w:type="dxa"/>
            </w:tcMar>
            <w:vAlign w:val="center"/>
          </w:tcPr>
          <w:p>
            <w:pPr>
              <w:pStyle w:val="TableContents"/>
              <w:bidi w:val="0"/>
              <w:spacing w:before="0" w:after="283"/>
              <w:jc w:val="left"/>
              <w:rPr/>
            </w:pPr>
            <w:r>
              <w:rPr/>
              <w:t> </w:t>
            </w:r>
          </w:p>
        </w:tc>
        <w:tc>
          <w:tcPr>
            <w:tcW w:w="596" w:type="dxa"/>
            <w:tcBorders>
              <w:bottom w:val="single" w:sz="6" w:space="0" w:color="000000"/>
            </w:tcBorders>
            <w:tcMar>
              <w:bottom w:w="80" w:type="dxa"/>
            </w:tcMar>
            <w:vAlign w:val="center"/>
          </w:tcPr>
          <w:p>
            <w:pPr>
              <w:pStyle w:val="TableContents"/>
              <w:bidi w:val="0"/>
              <w:spacing w:before="0" w:after="283"/>
              <w:jc w:val="right"/>
              <w:rPr/>
            </w:pPr>
            <w:r>
              <w:rPr/>
              <w:t>3,558</w:t>
            </w:r>
          </w:p>
        </w:tc>
        <w:tc>
          <w:tcPr>
            <w:tcW w:w="26"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 w:type="dxa"/>
            <w:tcBorders>
              <w:bottom w:val="single" w:sz="6" w:space="0" w:color="000000"/>
            </w:tcBorders>
            <w:tcMar>
              <w:bottom w:w="80" w:type="dxa"/>
            </w:tcMar>
            <w:vAlign w:val="center"/>
          </w:tcPr>
          <w:p>
            <w:pPr>
              <w:pStyle w:val="TableContents"/>
              <w:bidi w:val="0"/>
              <w:spacing w:before="0" w:after="283"/>
              <w:jc w:val="left"/>
              <w:rPr/>
            </w:pPr>
            <w:r>
              <w:rPr/>
              <w:t> </w:t>
            </w:r>
          </w:p>
        </w:tc>
        <w:tc>
          <w:tcPr>
            <w:tcW w:w="861" w:type="dxa"/>
            <w:tcBorders>
              <w:bottom w:val="single" w:sz="6" w:space="0" w:color="000000"/>
            </w:tcBorders>
            <w:tcMar>
              <w:bottom w:w="80" w:type="dxa"/>
            </w:tcMar>
            <w:vAlign w:val="center"/>
          </w:tcPr>
          <w:p>
            <w:pPr>
              <w:pStyle w:val="TableContents"/>
              <w:bidi w:val="0"/>
              <w:spacing w:before="0" w:after="283"/>
              <w:jc w:val="right"/>
              <w:rPr/>
            </w:pPr>
            <w:r>
              <w:rPr/>
              <w:t>817</w:t>
            </w:r>
          </w:p>
        </w:tc>
        <w:tc>
          <w:tcPr>
            <w:tcW w:w="37"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000000"/>
            </w:tcBorders>
            <w:tcMar>
              <w:bottom w:w="80" w:type="dxa"/>
            </w:tcMar>
            <w:vAlign w:val="center"/>
          </w:tcPr>
          <w:p>
            <w:pPr>
              <w:pStyle w:val="TableContents"/>
              <w:bidi w:val="0"/>
              <w:spacing w:before="0" w:after="283"/>
              <w:jc w:val="left"/>
              <w:rPr/>
            </w:pPr>
            <w:r>
              <w:rPr/>
              <w:t> </w:t>
            </w:r>
          </w:p>
        </w:tc>
        <w:tc>
          <w:tcPr>
            <w:tcW w:w="1277" w:type="dxa"/>
            <w:tcBorders>
              <w:bottom w:val="single" w:sz="6" w:space="0" w:color="000000"/>
            </w:tcBorders>
            <w:tcMar>
              <w:bottom w:w="80" w:type="dxa"/>
            </w:tcMar>
            <w:vAlign w:val="center"/>
          </w:tcPr>
          <w:p>
            <w:pPr>
              <w:pStyle w:val="TableContents"/>
              <w:bidi w:val="0"/>
              <w:spacing w:before="0" w:after="283"/>
              <w:jc w:val="right"/>
              <w:rPr/>
            </w:pPr>
            <w:r>
              <w:rPr/>
              <w:t>4,375</w:t>
            </w:r>
          </w:p>
        </w:tc>
        <w:tc>
          <w:tcPr>
            <w:tcW w:w="7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732" w:type="dxa"/>
            <w:gridSpan w:val="5"/>
            <w:tcBorders/>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152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W. Jeffrey Hire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000000"/>
            </w:tcBorders>
            <w:tcMar>
              <w:bottom w:w="80" w:type="dxa"/>
            </w:tcMar>
            <w:vAlign w:val="center"/>
          </w:tcPr>
          <w:p>
            <w:pPr>
              <w:pStyle w:val="TableContents"/>
              <w:bidi w:val="0"/>
              <w:spacing w:before="0" w:after="283"/>
              <w:jc w:val="left"/>
              <w:rPr/>
            </w:pPr>
            <w:r>
              <w:rPr/>
              <w:t> </w:t>
            </w:r>
          </w:p>
        </w:tc>
        <w:tc>
          <w:tcPr>
            <w:tcW w:w="886" w:type="dxa"/>
            <w:tcBorders>
              <w:bottom w:val="single" w:sz="6" w:space="0" w:color="000000"/>
            </w:tcBorders>
            <w:tcMar>
              <w:bottom w:w="80" w:type="dxa"/>
            </w:tcMar>
            <w:vAlign w:val="center"/>
          </w:tcPr>
          <w:p>
            <w:pPr>
              <w:pStyle w:val="TableContents"/>
              <w:bidi w:val="0"/>
              <w:spacing w:before="0" w:after="283"/>
              <w:jc w:val="right"/>
              <w:rPr/>
            </w:pPr>
            <w:r>
              <w:rPr/>
              <w:t>21,103</w:t>
            </w:r>
          </w:p>
        </w:tc>
        <w:tc>
          <w:tcPr>
            <w:tcW w:w="3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80" w:type="dxa"/>
            </w:tcMar>
            <w:vAlign w:val="center"/>
          </w:tcPr>
          <w:p>
            <w:pPr>
              <w:pStyle w:val="TableContents"/>
              <w:bidi w:val="0"/>
              <w:spacing w:before="0" w:after="283"/>
              <w:jc w:val="left"/>
              <w:rPr/>
            </w:pPr>
            <w:r>
              <w:rPr/>
              <w:t> </w:t>
            </w:r>
          </w:p>
        </w:tc>
        <w:tc>
          <w:tcPr>
            <w:tcW w:w="874" w:type="dxa"/>
            <w:tcBorders>
              <w:bottom w:val="single" w:sz="6" w:space="0" w:color="000000"/>
            </w:tcBorders>
            <w:tcMar>
              <w:bottom w:w="80" w:type="dxa"/>
            </w:tcMar>
            <w:vAlign w:val="center"/>
          </w:tcPr>
          <w:p>
            <w:pPr>
              <w:pStyle w:val="TableContents"/>
              <w:bidi w:val="0"/>
              <w:spacing w:before="0" w:after="283"/>
              <w:jc w:val="right"/>
              <w:rPr/>
            </w:pPr>
            <w:r>
              <w:rPr/>
              <w:t>2,762</w:t>
            </w:r>
          </w:p>
        </w:tc>
        <w:tc>
          <w:tcPr>
            <w:tcW w:w="38"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 w:type="dxa"/>
            <w:tcBorders>
              <w:bottom w:val="single" w:sz="6" w:space="0" w:color="000000"/>
            </w:tcBorders>
            <w:tcMar>
              <w:bottom w:w="80" w:type="dxa"/>
            </w:tcMar>
            <w:vAlign w:val="center"/>
          </w:tcPr>
          <w:p>
            <w:pPr>
              <w:pStyle w:val="TableContents"/>
              <w:bidi w:val="0"/>
              <w:spacing w:before="0" w:after="283"/>
              <w:jc w:val="left"/>
              <w:rPr/>
            </w:pPr>
            <w:r>
              <w:rPr/>
              <w:t> </w:t>
            </w:r>
          </w:p>
        </w:tc>
        <w:tc>
          <w:tcPr>
            <w:tcW w:w="861" w:type="dxa"/>
            <w:tcBorders>
              <w:bottom w:val="single" w:sz="6" w:space="0" w:color="000000"/>
            </w:tcBorders>
            <w:tcMar>
              <w:bottom w:w="80" w:type="dxa"/>
            </w:tcMar>
            <w:vAlign w:val="center"/>
          </w:tcPr>
          <w:p>
            <w:pPr>
              <w:pStyle w:val="TableContents"/>
              <w:bidi w:val="0"/>
              <w:spacing w:before="0" w:after="283"/>
              <w:jc w:val="right"/>
              <w:rPr/>
            </w:pPr>
            <w:r>
              <w:rPr/>
              <w:t>1,920</w:t>
            </w:r>
          </w:p>
        </w:tc>
        <w:tc>
          <w:tcPr>
            <w:tcW w:w="37"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0000"/>
            </w:tcBorders>
            <w:tcMar>
              <w:bottom w:w="80" w:type="dxa"/>
            </w:tcMar>
            <w:vAlign w:val="center"/>
          </w:tcPr>
          <w:p>
            <w:pPr>
              <w:pStyle w:val="TableContents"/>
              <w:bidi w:val="0"/>
              <w:spacing w:before="0" w:after="283"/>
              <w:jc w:val="left"/>
              <w:rPr/>
            </w:pPr>
            <w:r>
              <w:rPr/>
              <w:t> </w:t>
            </w:r>
          </w:p>
        </w:tc>
        <w:tc>
          <w:tcPr>
            <w:tcW w:w="596" w:type="dxa"/>
            <w:tcBorders>
              <w:bottom w:val="single" w:sz="6" w:space="0" w:color="000000"/>
            </w:tcBorders>
            <w:tcMar>
              <w:bottom w:w="80" w:type="dxa"/>
            </w:tcMar>
            <w:vAlign w:val="center"/>
          </w:tcPr>
          <w:p>
            <w:pPr>
              <w:pStyle w:val="TableContents"/>
              <w:bidi w:val="0"/>
              <w:spacing w:before="0" w:after="283"/>
              <w:jc w:val="right"/>
              <w:rPr/>
            </w:pPr>
            <w:r>
              <w:rPr/>
              <w:t>5,750</w:t>
            </w:r>
          </w:p>
        </w:tc>
        <w:tc>
          <w:tcPr>
            <w:tcW w:w="26"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 w:type="dxa"/>
            <w:tcBorders>
              <w:bottom w:val="single" w:sz="6" w:space="0" w:color="000000"/>
            </w:tcBorders>
            <w:tcMar>
              <w:bottom w:w="80" w:type="dxa"/>
            </w:tcMar>
            <w:vAlign w:val="center"/>
          </w:tcPr>
          <w:p>
            <w:pPr>
              <w:pStyle w:val="TableContents"/>
              <w:bidi w:val="0"/>
              <w:spacing w:before="0" w:after="283"/>
              <w:jc w:val="left"/>
              <w:rPr/>
            </w:pPr>
            <w:r>
              <w:rPr/>
              <w:t> </w:t>
            </w:r>
          </w:p>
        </w:tc>
        <w:tc>
          <w:tcPr>
            <w:tcW w:w="861" w:type="dxa"/>
            <w:tcBorders>
              <w:bottom w:val="single" w:sz="6" w:space="0" w:color="000000"/>
            </w:tcBorders>
            <w:tcMar>
              <w:bottom w:w="80" w:type="dxa"/>
            </w:tcMar>
            <w:vAlign w:val="center"/>
          </w:tcPr>
          <w:p>
            <w:pPr>
              <w:pStyle w:val="TableContents"/>
              <w:bidi w:val="0"/>
              <w:spacing w:before="0" w:after="283"/>
              <w:jc w:val="right"/>
              <w:rPr/>
            </w:pPr>
            <w:r>
              <w:rPr/>
              <w:t>930</w:t>
            </w:r>
          </w:p>
        </w:tc>
        <w:tc>
          <w:tcPr>
            <w:tcW w:w="37"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000000"/>
            </w:tcBorders>
            <w:tcMar>
              <w:bottom w:w="80" w:type="dxa"/>
            </w:tcMar>
            <w:vAlign w:val="center"/>
          </w:tcPr>
          <w:p>
            <w:pPr>
              <w:pStyle w:val="TableContents"/>
              <w:bidi w:val="0"/>
              <w:spacing w:before="0" w:after="283"/>
              <w:jc w:val="left"/>
              <w:rPr/>
            </w:pPr>
            <w:r>
              <w:rPr/>
              <w:t> </w:t>
            </w:r>
          </w:p>
        </w:tc>
        <w:tc>
          <w:tcPr>
            <w:tcW w:w="1277" w:type="dxa"/>
            <w:tcBorders>
              <w:bottom w:val="single" w:sz="6" w:space="0" w:color="000000"/>
            </w:tcBorders>
            <w:tcMar>
              <w:bottom w:w="80" w:type="dxa"/>
            </w:tcMar>
            <w:vAlign w:val="center"/>
          </w:tcPr>
          <w:p>
            <w:pPr>
              <w:pStyle w:val="TableContents"/>
              <w:bidi w:val="0"/>
              <w:spacing w:before="0" w:after="283"/>
              <w:jc w:val="right"/>
              <w:rPr/>
            </w:pPr>
            <w:r>
              <w:rPr/>
              <w:t>32,465</w:t>
            </w:r>
          </w:p>
        </w:tc>
        <w:tc>
          <w:tcPr>
            <w:tcW w:w="7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732" w:type="dxa"/>
            <w:gridSpan w:val="5"/>
            <w:tcBorders/>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152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shd w:fill="D5DBE3" w:val="clear"/>
            <w:tcMar>
              <w:bottom w:w="100" w:type="dxa"/>
            </w:tcMar>
            <w:vAlign w:val="center"/>
          </w:tcPr>
          <w:p>
            <w:pPr>
              <w:pStyle w:val="TableContents"/>
              <w:bidi w:val="0"/>
              <w:spacing w:before="0" w:after="0"/>
              <w:jc w:val="left"/>
              <w:rPr/>
            </w:pPr>
            <w:r>
              <w:rPr/>
              <w:t> </w:t>
            </w:r>
            <w:r>
              <w:rPr>
                <w:rFonts w:ascii="arial" w:hAnsi="arial"/>
                <w:sz w:val="20"/>
              </w:rPr>
              <w:t>Jason R. Niswonger</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12" w:space="0" w:color="1070B8"/>
            </w:tcBorders>
            <w:tcMar>
              <w:bottom w:w="100" w:type="dxa"/>
            </w:tcMar>
            <w:vAlign w:val="center"/>
          </w:tcPr>
          <w:p>
            <w:pPr>
              <w:pStyle w:val="TableContents"/>
              <w:bidi w:val="0"/>
              <w:spacing w:before="0" w:after="283"/>
              <w:jc w:val="left"/>
              <w:rPr/>
            </w:pPr>
            <w:r>
              <w:rPr/>
              <w:t> </w:t>
            </w:r>
          </w:p>
        </w:tc>
        <w:tc>
          <w:tcPr>
            <w:tcW w:w="886" w:type="dxa"/>
            <w:tcBorders>
              <w:bottom w:val="single" w:sz="12" w:space="0" w:color="1070B8"/>
            </w:tcBorders>
            <w:tcMar>
              <w:bottom w:w="100" w:type="dxa"/>
            </w:tcMar>
            <w:vAlign w:val="center"/>
          </w:tcPr>
          <w:p>
            <w:pPr>
              <w:pStyle w:val="TableContents"/>
              <w:bidi w:val="0"/>
              <w:spacing w:before="0" w:after="283"/>
              <w:jc w:val="right"/>
              <w:rPr/>
            </w:pPr>
            <w:r>
              <w:rPr/>
              <w:t>17,176</w:t>
            </w:r>
          </w:p>
        </w:tc>
        <w:tc>
          <w:tcPr>
            <w:tcW w:w="32" w:type="dxa"/>
            <w:tcBorders>
              <w:bottom w:val="single" w:sz="12" w:space="0" w:color="1070B8"/>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12" w:space="0" w:color="1070B8"/>
            </w:tcBorders>
            <w:tcMar>
              <w:bottom w:w="100" w:type="dxa"/>
            </w:tcMar>
            <w:vAlign w:val="center"/>
          </w:tcPr>
          <w:p>
            <w:pPr>
              <w:pStyle w:val="TableContents"/>
              <w:bidi w:val="0"/>
              <w:spacing w:before="0" w:after="283"/>
              <w:jc w:val="left"/>
              <w:rPr/>
            </w:pPr>
            <w:r>
              <w:rPr/>
              <w:t> </w:t>
            </w:r>
          </w:p>
        </w:tc>
        <w:tc>
          <w:tcPr>
            <w:tcW w:w="874" w:type="dxa"/>
            <w:tcBorders>
              <w:bottom w:val="single" w:sz="12" w:space="0" w:color="1070B8"/>
            </w:tcBorders>
            <w:tcMar>
              <w:bottom w:w="100" w:type="dxa"/>
            </w:tcMar>
            <w:vAlign w:val="center"/>
          </w:tcPr>
          <w:p>
            <w:pPr>
              <w:pStyle w:val="TableContents"/>
              <w:bidi w:val="0"/>
              <w:spacing w:before="0" w:after="283"/>
              <w:jc w:val="right"/>
              <w:rPr/>
            </w:pPr>
            <w:r>
              <w:rPr/>
              <w:t>2,762</w:t>
            </w:r>
          </w:p>
        </w:tc>
        <w:tc>
          <w:tcPr>
            <w:tcW w:w="38" w:type="dxa"/>
            <w:tcBorders>
              <w:bottom w:val="single" w:sz="12" w:space="0" w:color="1070B8"/>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92" w:type="dxa"/>
            <w:tcBorders>
              <w:bottom w:val="single" w:sz="12" w:space="0" w:color="1070B8"/>
            </w:tcBorders>
            <w:tcMar>
              <w:bottom w:w="100" w:type="dxa"/>
            </w:tcMar>
            <w:vAlign w:val="center"/>
          </w:tcPr>
          <w:p>
            <w:pPr>
              <w:pStyle w:val="TableContents"/>
              <w:bidi w:val="0"/>
              <w:spacing w:before="0" w:after="283"/>
              <w:jc w:val="left"/>
              <w:rPr/>
            </w:pPr>
            <w:r>
              <w:rPr/>
              <w:t> </w:t>
            </w:r>
          </w:p>
        </w:tc>
        <w:tc>
          <w:tcPr>
            <w:tcW w:w="861" w:type="dxa"/>
            <w:tcBorders>
              <w:bottom w:val="single" w:sz="12" w:space="0" w:color="1070B8"/>
            </w:tcBorders>
            <w:tcMar>
              <w:bottom w:w="100" w:type="dxa"/>
            </w:tcMar>
            <w:vAlign w:val="center"/>
          </w:tcPr>
          <w:p>
            <w:pPr>
              <w:pStyle w:val="TableContents"/>
              <w:bidi w:val="0"/>
              <w:spacing w:before="0" w:after="283"/>
              <w:jc w:val="right"/>
              <w:rPr/>
            </w:pPr>
            <w:r>
              <w:rPr/>
              <w:t>1,920</w:t>
            </w:r>
          </w:p>
        </w:tc>
        <w:tc>
          <w:tcPr>
            <w:tcW w:w="37" w:type="dxa"/>
            <w:tcBorders>
              <w:bottom w:val="single" w:sz="12" w:space="0" w:color="1070B8"/>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12" w:space="0" w:color="1070B8"/>
            </w:tcBorders>
            <w:tcMar>
              <w:bottom w:w="100" w:type="dxa"/>
            </w:tcMar>
            <w:vAlign w:val="center"/>
          </w:tcPr>
          <w:p>
            <w:pPr>
              <w:pStyle w:val="TableContents"/>
              <w:bidi w:val="0"/>
              <w:spacing w:before="0" w:after="283"/>
              <w:jc w:val="left"/>
              <w:rPr/>
            </w:pPr>
            <w:r>
              <w:rPr/>
              <w:t> </w:t>
            </w:r>
          </w:p>
        </w:tc>
        <w:tc>
          <w:tcPr>
            <w:tcW w:w="596" w:type="dxa"/>
            <w:tcBorders>
              <w:bottom w:val="single" w:sz="12" w:space="0" w:color="1070B8"/>
            </w:tcBorders>
            <w:tcMar>
              <w:bottom w:w="100" w:type="dxa"/>
            </w:tcMar>
            <w:vAlign w:val="center"/>
          </w:tcPr>
          <w:p>
            <w:pPr>
              <w:pStyle w:val="TableContents"/>
              <w:bidi w:val="0"/>
              <w:spacing w:before="0" w:after="283"/>
              <w:jc w:val="right"/>
              <w:rPr/>
            </w:pPr>
            <w:r>
              <w:rPr/>
              <w:t>2,342</w:t>
            </w:r>
          </w:p>
        </w:tc>
        <w:tc>
          <w:tcPr>
            <w:tcW w:w="26" w:type="dxa"/>
            <w:tcBorders>
              <w:bottom w:val="single" w:sz="12" w:space="0" w:color="1070B8"/>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92" w:type="dxa"/>
            <w:tcBorders>
              <w:bottom w:val="single" w:sz="12" w:space="0" w:color="1070B8"/>
            </w:tcBorders>
            <w:tcMar>
              <w:bottom w:w="100" w:type="dxa"/>
            </w:tcMar>
            <w:vAlign w:val="center"/>
          </w:tcPr>
          <w:p>
            <w:pPr>
              <w:pStyle w:val="TableContents"/>
              <w:bidi w:val="0"/>
              <w:spacing w:before="0" w:after="283"/>
              <w:jc w:val="left"/>
              <w:rPr/>
            </w:pPr>
            <w:r>
              <w:rPr/>
              <w:t> </w:t>
            </w:r>
          </w:p>
        </w:tc>
        <w:tc>
          <w:tcPr>
            <w:tcW w:w="861" w:type="dxa"/>
            <w:tcBorders>
              <w:bottom w:val="single" w:sz="12" w:space="0" w:color="1070B8"/>
            </w:tcBorders>
            <w:tcMar>
              <w:bottom w:w="100" w:type="dxa"/>
            </w:tcMar>
            <w:vAlign w:val="center"/>
          </w:tcPr>
          <w:p>
            <w:pPr>
              <w:pStyle w:val="TableContents"/>
              <w:bidi w:val="0"/>
              <w:spacing w:before="0" w:after="283"/>
              <w:jc w:val="right"/>
              <w:rPr/>
            </w:pPr>
            <w:r>
              <w:rPr/>
              <w:t>567</w:t>
            </w:r>
          </w:p>
        </w:tc>
        <w:tc>
          <w:tcPr>
            <w:tcW w:w="37" w:type="dxa"/>
            <w:tcBorders>
              <w:bottom w:val="single" w:sz="12" w:space="0" w:color="1070B8"/>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12" w:space="0" w:color="1070B8"/>
            </w:tcBorders>
            <w:tcMar>
              <w:bottom w:w="100" w:type="dxa"/>
            </w:tcMar>
            <w:vAlign w:val="center"/>
          </w:tcPr>
          <w:p>
            <w:pPr>
              <w:pStyle w:val="TableContents"/>
              <w:bidi w:val="0"/>
              <w:spacing w:before="0" w:after="283"/>
              <w:jc w:val="left"/>
              <w:rPr/>
            </w:pPr>
            <w:r>
              <w:rPr/>
              <w:t> </w:t>
            </w:r>
          </w:p>
        </w:tc>
        <w:tc>
          <w:tcPr>
            <w:tcW w:w="1277" w:type="dxa"/>
            <w:tcBorders>
              <w:bottom w:val="single" w:sz="12" w:space="0" w:color="1070B8"/>
            </w:tcBorders>
            <w:tcMar>
              <w:bottom w:w="100" w:type="dxa"/>
            </w:tcMar>
            <w:vAlign w:val="center"/>
          </w:tcPr>
          <w:p>
            <w:pPr>
              <w:pStyle w:val="TableContents"/>
              <w:bidi w:val="0"/>
              <w:spacing w:before="0" w:after="283"/>
              <w:jc w:val="right"/>
              <w:rPr/>
            </w:pPr>
            <w:r>
              <w:rPr/>
              <w:t>24,767</w:t>
            </w:r>
          </w:p>
        </w:tc>
        <w:tc>
          <w:tcPr>
            <w:tcW w:w="73" w:type="dxa"/>
            <w:tcBorders>
              <w:bottom w:val="single" w:sz="12" w:space="0" w:color="1070B8"/>
            </w:tcBorders>
            <w:tcMar>
              <w:bottom w:w="10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color w:val="1F295C"/>
          <w:sz w:val="24"/>
        </w:rPr>
      </w:pPr>
      <w:bookmarkStart w:id="95" w:name="toc849638_64"/>
      <w:bookmarkEnd w:id="95"/>
      <w:r>
        <w:rPr>
          <w:rFonts w:ascii="arial" w:hAnsi="arial"/>
          <w:b/>
          <w:color w:val="1F295C"/>
          <w:sz w:val="24"/>
        </w:rPr>
        <w:t xml:space="preserve">Grants of Plan-Based Awards for 2024 </w:t>
      </w:r>
    </w:p>
    <w:p>
      <w:pPr>
        <w:pStyle w:val="TextBody"/>
        <w:bidi w:val="0"/>
        <w:spacing w:before="240" w:after="0"/>
        <w:jc w:val="left"/>
        <w:rPr>
          <w:rFonts w:ascii="arial" w:hAnsi="arial"/>
          <w:sz w:val="20"/>
        </w:rPr>
      </w:pPr>
      <w:r>
        <w:rPr>
          <w:rFonts w:ascii="arial" w:hAnsi="arial"/>
          <w:sz w:val="20"/>
        </w:rPr>
        <w:t xml:space="preserve">The following table contains information regarding plan-based incentive awards granted to each of our NEOs for 2024 under our 2023 Omnibus Incentive Plan. </w:t>
      </w:r>
    </w:p>
    <w:p>
      <w:pPr>
        <w:pStyle w:val="TextBody"/>
        <w:bidi w:val="0"/>
        <w:spacing w:before="0" w:after="0"/>
        <w:jc w:val="left"/>
        <w:rPr/>
      </w:pPr>
      <w:r>
        <w:rPr/>
        <w:t> </w:t>
      </w:r>
    </w:p>
    <w:tbl>
      <w:tblPr>
        <w:tblW w:w="12397" w:type="dxa"/>
        <w:jc w:val="left"/>
        <w:tblInd w:w="0" w:type="dxa"/>
        <w:tblLayout w:type="fixed"/>
        <w:tblCellMar>
          <w:top w:w="0" w:type="dxa"/>
          <w:left w:w="0" w:type="dxa"/>
          <w:bottom w:w="0" w:type="dxa"/>
          <w:right w:w="0" w:type="dxa"/>
        </w:tblCellMar>
      </w:tblPr>
      <w:tblGrid>
        <w:gridCol w:w="1760"/>
        <w:gridCol w:w="60"/>
        <w:gridCol w:w="125"/>
        <w:gridCol w:w="1050"/>
        <w:gridCol w:w="60"/>
        <w:gridCol w:w="60"/>
        <w:gridCol w:w="71"/>
        <w:gridCol w:w="999"/>
        <w:gridCol w:w="69"/>
        <w:gridCol w:w="69"/>
        <w:gridCol w:w="69"/>
        <w:gridCol w:w="1134"/>
        <w:gridCol w:w="69"/>
        <w:gridCol w:w="69"/>
        <w:gridCol w:w="69"/>
        <w:gridCol w:w="1138"/>
        <w:gridCol w:w="60"/>
        <w:gridCol w:w="60"/>
        <w:gridCol w:w="60"/>
        <w:gridCol w:w="60"/>
        <w:gridCol w:w="60"/>
        <w:gridCol w:w="60"/>
        <w:gridCol w:w="103"/>
        <w:gridCol w:w="967"/>
        <w:gridCol w:w="99"/>
        <w:gridCol w:w="99"/>
        <w:gridCol w:w="99"/>
        <w:gridCol w:w="1130"/>
        <w:gridCol w:w="99"/>
        <w:gridCol w:w="99"/>
        <w:gridCol w:w="99"/>
        <w:gridCol w:w="1137"/>
        <w:gridCol w:w="60"/>
        <w:gridCol w:w="60"/>
        <w:gridCol w:w="60"/>
        <w:gridCol w:w="980"/>
        <w:gridCol w:w="75"/>
      </w:tblGrid>
      <w:tr>
        <w:trPr/>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3756" w:type="dxa"/>
            <w:gridSpan w:val="10"/>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Estimated Future Payments Under</w:t>
              <w:br/>
              <w:t>Non-Equity Incentive Plan Awards(1)</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3931" w:type="dxa"/>
            <w:gridSpan w:val="10"/>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Estimated Future Payments</w:t>
              <w:br/>
              <w:t>Under Equity Incentive Plan Awards(2)</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vMerge w:val="restart"/>
            <w:tcBorders>
              <w:bottom w:val="single" w:sz="12" w:space="0" w:color="1070B8"/>
            </w:tcBorders>
            <w:tcMar>
              <w:bottom w:w="28" w:type="dxa"/>
            </w:tcMar>
            <w:vAlign w:val="center"/>
          </w:tcPr>
          <w:p>
            <w:pPr>
              <w:pStyle w:val="TableContents"/>
              <w:bidi w:val="0"/>
              <w:spacing w:before="0" w:after="283"/>
              <w:jc w:val="left"/>
              <w:rPr/>
            </w:pPr>
            <w:r>
              <w:rPr/>
              <w:t> </w:t>
            </w:r>
          </w:p>
        </w:tc>
        <w:tc>
          <w:tcPr>
            <w:tcW w:w="1040" w:type="dxa"/>
            <w:gridSpan w:val="2"/>
            <w:vMerge w:val="restart"/>
            <w:tcBorders>
              <w:bottom w:val="single" w:sz="12" w:space="0" w:color="1070B8"/>
            </w:tcBorders>
            <w:tcMar>
              <w:bottom w:w="80" w:type="dxa"/>
            </w:tcMar>
            <w:vAlign w:val="center"/>
          </w:tcPr>
          <w:p>
            <w:pPr>
              <w:pStyle w:val="TableContents"/>
              <w:bidi w:val="0"/>
              <w:spacing w:before="0" w:after="0"/>
              <w:jc w:val="center"/>
              <w:rPr>
                <w:rFonts w:ascii="arial" w:hAnsi="arial"/>
                <w:b/>
                <w:color w:val="1F295C"/>
                <w:sz w:val="18"/>
              </w:rPr>
            </w:pPr>
            <w:r>
              <w:rPr>
                <w:rFonts w:ascii="arial" w:hAnsi="arial"/>
                <w:b/>
                <w:color w:val="1F295C"/>
                <w:sz w:val="18"/>
              </w:rPr>
              <w:t>Grant Date</w:t>
              <w:br/>
              <w:t>Fair Value</w:t>
            </w:r>
          </w:p>
          <w:p>
            <w:pPr>
              <w:pStyle w:val="TableContents"/>
              <w:bidi w:val="0"/>
              <w:spacing w:before="0" w:after="0"/>
              <w:jc w:val="center"/>
              <w:rPr>
                <w:rFonts w:ascii="arial" w:hAnsi="arial"/>
                <w:b/>
                <w:color w:val="1F295C"/>
                <w:sz w:val="18"/>
              </w:rPr>
            </w:pPr>
            <w:r>
              <w:rPr>
                <w:rFonts w:ascii="arial" w:hAnsi="arial"/>
                <w:b/>
                <w:color w:val="1F295C"/>
                <w:sz w:val="18"/>
              </w:rPr>
              <w:t>of Stock</w:t>
            </w:r>
          </w:p>
          <w:p>
            <w:pPr>
              <w:pStyle w:val="TableContents"/>
              <w:bidi w:val="0"/>
              <w:spacing w:before="0" w:after="20"/>
              <w:jc w:val="center"/>
              <w:rPr>
                <w:rFonts w:ascii="arial" w:hAnsi="arial"/>
                <w:b/>
                <w:color w:val="1F295C"/>
                <w:sz w:val="18"/>
              </w:rPr>
            </w:pPr>
            <w:r>
              <w:rPr>
                <w:rFonts w:ascii="arial" w:hAnsi="arial"/>
                <w:b/>
                <w:color w:val="1F295C"/>
                <w:sz w:val="18"/>
              </w:rPr>
              <w:t>Awards</w:t>
              <w:br/>
              <w:t>($)(3)</w:t>
            </w:r>
          </w:p>
        </w:tc>
        <w:tc>
          <w:tcPr>
            <w:tcW w:w="75" w:type="dxa"/>
            <w:vMerge w:val="restart"/>
            <w:tcBorders>
              <w:bottom w:val="single" w:sz="12" w:space="0" w:color="1070B8"/>
            </w:tcBorders>
            <w:tcMar>
              <w:bottom w:w="28" w:type="dxa"/>
            </w:tcMar>
            <w:vAlign w:val="center"/>
          </w:tcPr>
          <w:p>
            <w:pPr>
              <w:pStyle w:val="TableContents"/>
              <w:bidi w:val="0"/>
              <w:spacing w:before="0" w:after="283"/>
              <w:jc w:val="left"/>
              <w:rPr/>
            </w:pPr>
            <w:r>
              <w:rPr/>
              <w:t> </w:t>
            </w:r>
          </w:p>
        </w:tc>
      </w:tr>
      <w:tr>
        <w:trPr/>
        <w:tc>
          <w:tcPr>
            <w:tcW w:w="1760" w:type="dxa"/>
            <w:tcBorders>
              <w:bottom w:val="single" w:sz="12" w:space="0" w:color="1070B8"/>
            </w:tcBorders>
            <w:tcMar>
              <w:bottom w:w="80" w:type="dxa"/>
            </w:tcMar>
            <w:vAlign w:val="center"/>
          </w:tcPr>
          <w:p>
            <w:pPr>
              <w:pStyle w:val="TableContents"/>
              <w:bidi w:val="0"/>
              <w:spacing w:before="0" w:after="283"/>
              <w:jc w:val="left"/>
              <w:rPr>
                <w:b/>
                <w:color w:val="1F295C"/>
              </w:rPr>
            </w:pPr>
            <w:r>
              <w:rPr>
                <w:b/>
                <w:color w:val="1F295C"/>
              </w:rPr>
              <w:t>Name</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175" w:type="dxa"/>
            <w:gridSpan w:val="2"/>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Grant Date</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070" w:type="dxa"/>
            <w:gridSpan w:val="2"/>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Threshold</w:t>
              <w:br/>
              <w:t>($)</w:t>
            </w:r>
          </w:p>
        </w:tc>
        <w:tc>
          <w:tcPr>
            <w:tcW w:w="69" w:type="dxa"/>
            <w:tcBorders>
              <w:bottom w:val="single" w:sz="12" w:space="0" w:color="1070B8"/>
            </w:tcBorders>
            <w:tcMar>
              <w:bottom w:w="28" w:type="dxa"/>
            </w:tcMar>
            <w:vAlign w:val="center"/>
          </w:tcPr>
          <w:p>
            <w:pPr>
              <w:pStyle w:val="TableContents"/>
              <w:bidi w:val="0"/>
              <w:spacing w:before="0" w:after="283"/>
              <w:jc w:val="left"/>
              <w:rPr/>
            </w:pPr>
            <w:r>
              <w:rPr/>
              <w:t> </w:t>
            </w:r>
          </w:p>
        </w:tc>
        <w:tc>
          <w:tcPr>
            <w:tcW w:w="69"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3" w:type="dxa"/>
            <w:gridSpan w:val="2"/>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Target</w:t>
              <w:br/>
              <w:t>($)</w:t>
            </w:r>
          </w:p>
        </w:tc>
        <w:tc>
          <w:tcPr>
            <w:tcW w:w="69" w:type="dxa"/>
            <w:tcBorders>
              <w:bottom w:val="single" w:sz="12" w:space="0" w:color="1070B8"/>
            </w:tcBorders>
            <w:tcMar>
              <w:bottom w:w="28" w:type="dxa"/>
            </w:tcMar>
            <w:vAlign w:val="center"/>
          </w:tcPr>
          <w:p>
            <w:pPr>
              <w:pStyle w:val="TableContents"/>
              <w:bidi w:val="0"/>
              <w:spacing w:before="0" w:after="283"/>
              <w:jc w:val="left"/>
              <w:rPr/>
            </w:pPr>
            <w:r>
              <w:rPr/>
              <w:t> </w:t>
            </w:r>
          </w:p>
        </w:tc>
        <w:tc>
          <w:tcPr>
            <w:tcW w:w="69"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7" w:type="dxa"/>
            <w:gridSpan w:val="2"/>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Maximum</w:t>
              <w:br/>
              <w:t>($)</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gridSpan w:val="2"/>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070" w:type="dxa"/>
            <w:gridSpan w:val="2"/>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Threshold</w:t>
              <w:br/>
              <w:t>(#)</w:t>
            </w:r>
          </w:p>
        </w:tc>
        <w:tc>
          <w:tcPr>
            <w:tcW w:w="99" w:type="dxa"/>
            <w:tcBorders>
              <w:bottom w:val="single" w:sz="12" w:space="0" w:color="1070B8"/>
            </w:tcBorders>
            <w:tcMar>
              <w:bottom w:w="28" w:type="dxa"/>
            </w:tcMar>
            <w:vAlign w:val="center"/>
          </w:tcPr>
          <w:p>
            <w:pPr>
              <w:pStyle w:val="TableContents"/>
              <w:bidi w:val="0"/>
              <w:spacing w:before="0" w:after="283"/>
              <w:jc w:val="left"/>
              <w:rPr/>
            </w:pPr>
            <w:r>
              <w:rPr/>
              <w:t> </w:t>
            </w:r>
          </w:p>
        </w:tc>
        <w:tc>
          <w:tcPr>
            <w:tcW w:w="99" w:type="dxa"/>
            <w:tcBorders>
              <w:bottom w:val="single" w:sz="12" w:space="0" w:color="1070B8"/>
            </w:tcBorders>
            <w:tcMar>
              <w:bottom w:w="28" w:type="dxa"/>
            </w:tcMar>
            <w:vAlign w:val="center"/>
          </w:tcPr>
          <w:p>
            <w:pPr>
              <w:pStyle w:val="TableContents"/>
              <w:bidi w:val="0"/>
              <w:spacing w:before="0" w:after="283"/>
              <w:jc w:val="left"/>
              <w:rPr/>
            </w:pPr>
            <w:r>
              <w:rPr/>
              <w:t> </w:t>
            </w:r>
          </w:p>
        </w:tc>
        <w:tc>
          <w:tcPr>
            <w:tcW w:w="1229" w:type="dxa"/>
            <w:gridSpan w:val="2"/>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Target</w:t>
              <w:br/>
              <w:t>(#)</w:t>
            </w:r>
          </w:p>
        </w:tc>
        <w:tc>
          <w:tcPr>
            <w:tcW w:w="99" w:type="dxa"/>
            <w:tcBorders>
              <w:bottom w:val="single" w:sz="12" w:space="0" w:color="1070B8"/>
            </w:tcBorders>
            <w:tcMar>
              <w:bottom w:w="28" w:type="dxa"/>
            </w:tcMar>
            <w:vAlign w:val="center"/>
          </w:tcPr>
          <w:p>
            <w:pPr>
              <w:pStyle w:val="TableContents"/>
              <w:bidi w:val="0"/>
              <w:spacing w:before="0" w:after="283"/>
              <w:jc w:val="left"/>
              <w:rPr/>
            </w:pPr>
            <w:r>
              <w:rPr/>
              <w:t> </w:t>
            </w:r>
          </w:p>
        </w:tc>
        <w:tc>
          <w:tcPr>
            <w:tcW w:w="99" w:type="dxa"/>
            <w:tcBorders>
              <w:bottom w:val="single" w:sz="12" w:space="0" w:color="1070B8"/>
            </w:tcBorders>
            <w:tcMar>
              <w:bottom w:w="28" w:type="dxa"/>
            </w:tcMar>
            <w:vAlign w:val="center"/>
          </w:tcPr>
          <w:p>
            <w:pPr>
              <w:pStyle w:val="TableContents"/>
              <w:bidi w:val="0"/>
              <w:spacing w:before="0" w:after="283"/>
              <w:jc w:val="left"/>
              <w:rPr/>
            </w:pPr>
            <w:r>
              <w:rPr/>
              <w:t> </w:t>
            </w:r>
          </w:p>
        </w:tc>
        <w:tc>
          <w:tcPr>
            <w:tcW w:w="1236" w:type="dxa"/>
            <w:gridSpan w:val="2"/>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Maximum</w:t>
              <w:br/>
              <w:t>(#)</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vMerge w:val="continue"/>
            <w:tcBorders>
              <w:bottom w:val="single" w:sz="12" w:space="0" w:color="1070B8"/>
            </w:tcBorders>
            <w:tcMar>
              <w:bottom w:w="28" w:type="dxa"/>
            </w:tcMar>
            <w:vAlign w:val="center"/>
          </w:tcPr>
          <w:p>
            <w:pPr>
              <w:pStyle w:val="Normal"/>
              <w:bidi w:val="0"/>
              <w:jc w:val="left"/>
              <w:rPr/>
            </w:pPr>
            <w:r>
              <w:rPr/>
            </w:r>
          </w:p>
        </w:tc>
        <w:tc>
          <w:tcPr>
            <w:tcW w:w="1040" w:type="dxa"/>
            <w:gridSpan w:val="2"/>
            <w:vMerge w:val="continue"/>
            <w:tcBorders>
              <w:bottom w:val="single" w:sz="12" w:space="0" w:color="1070B8"/>
            </w:tcBorders>
            <w:tcMar>
              <w:bottom w:w="80" w:type="dxa"/>
            </w:tcMar>
            <w:vAlign w:val="center"/>
          </w:tcPr>
          <w:p>
            <w:pPr>
              <w:pStyle w:val="Normal"/>
              <w:bidi w:val="0"/>
              <w:jc w:val="left"/>
              <w:rPr/>
            </w:pPr>
            <w:r>
              <w:rPr/>
            </w:r>
          </w:p>
        </w:tc>
        <w:tc>
          <w:tcPr>
            <w:tcW w:w="75" w:type="dxa"/>
            <w:vMerge w:val="continue"/>
            <w:tcBorders>
              <w:bottom w:val="single" w:sz="12" w:space="0" w:color="1070B8"/>
            </w:tcBorders>
            <w:tcMar>
              <w:bottom w:w="28" w:type="dxa"/>
            </w:tcMar>
            <w:vAlign w:val="center"/>
          </w:tcPr>
          <w:p>
            <w:pPr>
              <w:pStyle w:val="Normal"/>
              <w:bidi w:val="0"/>
              <w:jc w:val="left"/>
              <w:rPr/>
            </w:pPr>
            <w:r>
              <w:rPr/>
            </w:r>
          </w:p>
        </w:tc>
      </w:tr>
      <w:tr>
        <w:trPr/>
        <w:tc>
          <w:tcPr>
            <w:tcW w:w="1760" w:type="dxa"/>
            <w:tcBorders/>
            <w:shd w:fill="D5DBE3" w:val="clear"/>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341" w:type="dxa"/>
            <w:gridSpan w:val="4"/>
            <w:tcBorders/>
            <w:vAlign w:val="center"/>
          </w:tcPr>
          <w:p>
            <w:pPr>
              <w:pStyle w:val="TableContents"/>
              <w:bidi w:val="0"/>
              <w:spacing w:before="0" w:after="283"/>
              <w:jc w:val="left"/>
              <w:rPr>
                <w:sz w:val="4"/>
                <w:szCs w:val="4"/>
              </w:rPr>
            </w:pPr>
            <w:r>
              <w:rPr>
                <w:sz w:val="4"/>
                <w:szCs w:val="4"/>
              </w:rPr>
            </w:r>
          </w:p>
        </w:tc>
        <w:tc>
          <w:tcPr>
            <w:tcW w:w="1336"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427"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shd w:fill="D5DBE3" w:val="clear"/>
            <w:vAlign w:val="center"/>
          </w:tcPr>
          <w:p>
            <w:pPr>
              <w:pStyle w:val="TableContents"/>
              <w:bidi w:val="0"/>
              <w:spacing w:before="0" w:after="0"/>
              <w:jc w:val="left"/>
              <w:rPr/>
            </w:pPr>
            <w:r>
              <w:rPr/>
              <w:t> </w:t>
            </w:r>
            <w:r>
              <w:rPr>
                <w:rFonts w:ascii="arial" w:hAnsi="arial"/>
                <w:sz w:val="20"/>
              </w:rPr>
              <w:t>Jeffrey W. Edwards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650,000  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1,300,000</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2,600,000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341" w:type="dxa"/>
            <w:gridSpan w:val="4"/>
            <w:tcBorders/>
            <w:vAlign w:val="center"/>
          </w:tcPr>
          <w:p>
            <w:pPr>
              <w:pStyle w:val="TableContents"/>
              <w:bidi w:val="0"/>
              <w:spacing w:before="0" w:after="283"/>
              <w:jc w:val="left"/>
              <w:rPr>
                <w:sz w:val="4"/>
                <w:szCs w:val="4"/>
              </w:rPr>
            </w:pPr>
            <w:r>
              <w:rPr>
                <w:sz w:val="4"/>
                <w:szCs w:val="4"/>
              </w:rPr>
            </w:r>
          </w:p>
        </w:tc>
        <w:tc>
          <w:tcPr>
            <w:tcW w:w="1336"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427"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6" w:space="0" w:color="000000"/>
            </w:tcBorders>
            <w:tcMar>
              <w:bottom w:w="80" w:type="dxa"/>
            </w:tcMar>
            <w:vAlign w:val="center"/>
          </w:tcPr>
          <w:p>
            <w:pPr>
              <w:pStyle w:val="TableContents"/>
              <w:bidi w:val="0"/>
              <w:spacing w:before="0" w:after="0"/>
              <w:jc w:val="left"/>
              <w:rPr>
                <w:rFonts w:ascii="arial" w:hAnsi="arial"/>
                <w:sz w:val="20"/>
              </w:rPr>
            </w:pPr>
            <w:r>
              <w:rPr>
                <w:rFonts w:ascii="arial" w:hAnsi="arial"/>
                <w:sz w:val="20"/>
              </w:rPr>
              <w:t>Performance-Based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 w:type="dxa"/>
            <w:tcBorders>
              <w:bottom w:val="single" w:sz="6" w:space="0" w:color="000000"/>
            </w:tcBorders>
            <w:tcMar>
              <w:bottom w:w="80" w:type="dxa"/>
            </w:tcMar>
            <w:vAlign w:val="center"/>
          </w:tcPr>
          <w:p>
            <w:pPr>
              <w:pStyle w:val="TableContents"/>
              <w:bidi w:val="0"/>
              <w:spacing w:before="0" w:after="283"/>
              <w:jc w:val="left"/>
              <w:rPr/>
            </w:pPr>
            <w:r>
              <w:rPr/>
              <w:t> </w:t>
            </w:r>
          </w:p>
        </w:tc>
        <w:tc>
          <w:tcPr>
            <w:tcW w:w="1050" w:type="dxa"/>
            <w:tcBorders>
              <w:bottom w:val="single" w:sz="6" w:space="0" w:color="000000"/>
            </w:tcBorders>
            <w:tcMar>
              <w:bottom w:w="80" w:type="dxa"/>
            </w:tcMar>
            <w:vAlign w:val="center"/>
          </w:tcPr>
          <w:p>
            <w:pPr>
              <w:pStyle w:val="TableContents"/>
              <w:bidi w:val="0"/>
              <w:spacing w:before="0" w:after="283"/>
              <w:jc w:val="right"/>
              <w:rPr/>
            </w:pPr>
            <w:r>
              <w:rPr/>
              <w:t>2/20/2024</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tcMar>
              <w:bottom w:w="28" w:type="dxa"/>
            </w:tcMar>
            <w:vAlign w:val="center"/>
          </w:tcPr>
          <w:p>
            <w:pPr>
              <w:pStyle w:val="TableContents"/>
              <w:bidi w:val="0"/>
              <w:spacing w:before="0" w:after="283"/>
              <w:jc w:val="left"/>
              <w:rPr/>
            </w:pPr>
            <w:r>
              <w:rPr/>
              <w:t> </w:t>
            </w:r>
          </w:p>
        </w:tc>
        <w:tc>
          <w:tcPr>
            <w:tcW w:w="99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1134"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1138"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3" w:type="dxa"/>
            <w:tcBorders>
              <w:bottom w:val="single" w:sz="6" w:space="0" w:color="000000"/>
            </w:tcBorders>
            <w:tcMar>
              <w:bottom w:w="80" w:type="dxa"/>
            </w:tcMar>
            <w:vAlign w:val="center"/>
          </w:tcPr>
          <w:p>
            <w:pPr>
              <w:pStyle w:val="TableContents"/>
              <w:bidi w:val="0"/>
              <w:spacing w:before="0" w:after="283"/>
              <w:jc w:val="left"/>
              <w:rPr/>
            </w:pPr>
            <w:r>
              <w:rPr/>
              <w:t> </w:t>
            </w:r>
          </w:p>
        </w:tc>
        <w:tc>
          <w:tcPr>
            <w:tcW w:w="967" w:type="dxa"/>
            <w:tcBorders>
              <w:bottom w:val="single" w:sz="6" w:space="0" w:color="000000"/>
            </w:tcBorders>
            <w:tcMar>
              <w:bottom w:w="80" w:type="dxa"/>
            </w:tcMar>
            <w:vAlign w:val="center"/>
          </w:tcPr>
          <w:p>
            <w:pPr>
              <w:pStyle w:val="TableContents"/>
              <w:bidi w:val="0"/>
              <w:spacing w:before="0" w:after="283"/>
              <w:jc w:val="right"/>
              <w:rPr/>
            </w:pPr>
            <w:r>
              <w:rPr/>
              <w:t>9,711   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99" w:type="dxa"/>
            <w:tcBorders>
              <w:bottom w:val="single" w:sz="6" w:space="0" w:color="000000"/>
            </w:tcBorders>
            <w:tcMar>
              <w:bottom w:w="28" w:type="dxa"/>
            </w:tcMar>
            <w:vAlign w:val="center"/>
          </w:tcPr>
          <w:p>
            <w:pPr>
              <w:pStyle w:val="TableContents"/>
              <w:bidi w:val="0"/>
              <w:spacing w:before="0" w:after="283"/>
              <w:jc w:val="left"/>
              <w:rPr/>
            </w:pPr>
            <w:r>
              <w:rPr/>
              <w:t>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1130" w:type="dxa"/>
            <w:tcBorders>
              <w:bottom w:val="single" w:sz="6" w:space="0" w:color="000000"/>
            </w:tcBorders>
            <w:tcMar>
              <w:bottom w:w="80" w:type="dxa"/>
            </w:tcMar>
            <w:vAlign w:val="center"/>
          </w:tcPr>
          <w:p>
            <w:pPr>
              <w:pStyle w:val="TableContents"/>
              <w:bidi w:val="0"/>
              <w:spacing w:before="0" w:after="283"/>
              <w:jc w:val="right"/>
              <w:rPr/>
            </w:pPr>
            <w:r>
              <w:rPr/>
              <w:t>19,421   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99" w:type="dxa"/>
            <w:tcBorders>
              <w:bottom w:val="single" w:sz="6" w:space="0" w:color="000000"/>
            </w:tcBorders>
            <w:tcMar>
              <w:bottom w:w="28" w:type="dxa"/>
            </w:tcMar>
            <w:vAlign w:val="center"/>
          </w:tcPr>
          <w:p>
            <w:pPr>
              <w:pStyle w:val="TableContents"/>
              <w:bidi w:val="0"/>
              <w:spacing w:before="0" w:after="283"/>
              <w:jc w:val="left"/>
              <w:rPr/>
            </w:pPr>
            <w:r>
              <w:rPr/>
              <w:t>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1137" w:type="dxa"/>
            <w:tcBorders>
              <w:bottom w:val="single" w:sz="6" w:space="0" w:color="000000"/>
            </w:tcBorders>
            <w:tcMar>
              <w:bottom w:w="80" w:type="dxa"/>
            </w:tcMar>
            <w:vAlign w:val="center"/>
          </w:tcPr>
          <w:p>
            <w:pPr>
              <w:pStyle w:val="TableContents"/>
              <w:bidi w:val="0"/>
              <w:spacing w:before="0" w:after="283"/>
              <w:jc w:val="right"/>
              <w:rPr/>
            </w:pPr>
            <w:r>
              <w:rPr/>
              <w:t>38,842   </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980" w:type="dxa"/>
            <w:tcBorders>
              <w:bottom w:val="single" w:sz="6" w:space="0" w:color="000000"/>
            </w:tcBorders>
            <w:tcMar>
              <w:bottom w:w="80" w:type="dxa"/>
            </w:tcMar>
            <w:vAlign w:val="center"/>
          </w:tcPr>
          <w:p>
            <w:pPr>
              <w:pStyle w:val="TableContents"/>
              <w:bidi w:val="0"/>
              <w:spacing w:before="0" w:after="283"/>
              <w:jc w:val="right"/>
              <w:rPr/>
            </w:pPr>
            <w:r>
              <w:rPr/>
              <w:t>3,999,949</w:t>
            </w:r>
          </w:p>
        </w:tc>
        <w:tc>
          <w:tcPr>
            <w:tcW w:w="75" w:type="dxa"/>
            <w:tcBorders>
              <w:bottom w:val="single" w:sz="6" w:space="0" w:color="000000"/>
            </w:tcBorders>
            <w:tcMar>
              <w:bottom w:w="80" w:type="dxa"/>
            </w:tcMar>
            <w:vAlign w:val="center"/>
          </w:tcPr>
          <w:p>
            <w:pPr>
              <w:pStyle w:val="TableContents"/>
              <w:bidi w:val="0"/>
              <w:spacing w:before="0" w:after="283"/>
              <w:jc w:val="left"/>
              <w:rPr/>
            </w:pPr>
            <w:r>
              <w:rPr/>
              <w:t> </w:t>
            </w:r>
          </w:p>
        </w:tc>
      </w:tr>
      <w:tr>
        <w:trPr/>
        <w:tc>
          <w:tcPr>
            <w:tcW w:w="1760" w:type="dxa"/>
            <w:tcBorders/>
            <w:shd w:fill="D5DBE3" w:val="clear"/>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341" w:type="dxa"/>
            <w:gridSpan w:val="4"/>
            <w:tcBorders/>
            <w:vAlign w:val="center"/>
          </w:tcPr>
          <w:p>
            <w:pPr>
              <w:pStyle w:val="TableContents"/>
              <w:bidi w:val="0"/>
              <w:spacing w:before="0" w:after="283"/>
              <w:jc w:val="left"/>
              <w:rPr>
                <w:sz w:val="4"/>
                <w:szCs w:val="4"/>
              </w:rPr>
            </w:pPr>
            <w:r>
              <w:rPr>
                <w:sz w:val="4"/>
                <w:szCs w:val="4"/>
              </w:rPr>
            </w:r>
          </w:p>
        </w:tc>
        <w:tc>
          <w:tcPr>
            <w:tcW w:w="1336"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427"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shd w:fill="D5DBE3" w:val="clear"/>
            <w:vAlign w:val="center"/>
          </w:tcPr>
          <w:p>
            <w:pPr>
              <w:pStyle w:val="TableContents"/>
              <w:bidi w:val="0"/>
              <w:spacing w:before="0" w:after="0"/>
              <w:jc w:val="left"/>
              <w:rPr/>
            </w:pPr>
            <w:r>
              <w:rPr/>
              <w:t> </w:t>
            </w:r>
            <w:r>
              <w:rPr>
                <w:rFonts w:ascii="arial" w:hAnsi="arial"/>
                <w:sz w:val="20"/>
              </w:rPr>
              <w:t>Michael T. Miller</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237,500  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475,000</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950,000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341" w:type="dxa"/>
            <w:gridSpan w:val="4"/>
            <w:tcBorders/>
            <w:vAlign w:val="center"/>
          </w:tcPr>
          <w:p>
            <w:pPr>
              <w:pStyle w:val="TableContents"/>
              <w:bidi w:val="0"/>
              <w:spacing w:before="0" w:after="283"/>
              <w:jc w:val="left"/>
              <w:rPr>
                <w:sz w:val="4"/>
                <w:szCs w:val="4"/>
              </w:rPr>
            </w:pPr>
            <w:r>
              <w:rPr>
                <w:sz w:val="4"/>
                <w:szCs w:val="4"/>
              </w:rPr>
            </w:r>
          </w:p>
        </w:tc>
        <w:tc>
          <w:tcPr>
            <w:tcW w:w="1336"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427"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6" w:space="0" w:color="000000"/>
            </w:tcBorders>
            <w:tcMar>
              <w:bottom w:w="80" w:type="dxa"/>
            </w:tcMar>
            <w:vAlign w:val="center"/>
          </w:tcPr>
          <w:p>
            <w:pPr>
              <w:pStyle w:val="TableContents"/>
              <w:bidi w:val="0"/>
              <w:spacing w:before="0" w:after="0"/>
              <w:jc w:val="left"/>
              <w:rPr>
                <w:rFonts w:ascii="arial" w:hAnsi="arial"/>
                <w:sz w:val="20"/>
              </w:rPr>
            </w:pPr>
            <w:r>
              <w:rPr>
                <w:rFonts w:ascii="arial" w:hAnsi="arial"/>
                <w:sz w:val="20"/>
              </w:rPr>
              <w:t>Performance-Based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 w:type="dxa"/>
            <w:tcBorders>
              <w:bottom w:val="single" w:sz="6" w:space="0" w:color="000000"/>
            </w:tcBorders>
            <w:tcMar>
              <w:bottom w:w="80" w:type="dxa"/>
            </w:tcMar>
            <w:vAlign w:val="center"/>
          </w:tcPr>
          <w:p>
            <w:pPr>
              <w:pStyle w:val="TableContents"/>
              <w:bidi w:val="0"/>
              <w:spacing w:before="0" w:after="283"/>
              <w:jc w:val="left"/>
              <w:rPr/>
            </w:pPr>
            <w:r>
              <w:rPr/>
              <w:t> </w:t>
            </w:r>
          </w:p>
        </w:tc>
        <w:tc>
          <w:tcPr>
            <w:tcW w:w="1050" w:type="dxa"/>
            <w:tcBorders>
              <w:bottom w:val="single" w:sz="6" w:space="0" w:color="000000"/>
            </w:tcBorders>
            <w:tcMar>
              <w:bottom w:w="80" w:type="dxa"/>
            </w:tcMar>
            <w:vAlign w:val="center"/>
          </w:tcPr>
          <w:p>
            <w:pPr>
              <w:pStyle w:val="TableContents"/>
              <w:bidi w:val="0"/>
              <w:spacing w:before="0" w:after="283"/>
              <w:jc w:val="right"/>
              <w:rPr/>
            </w:pPr>
            <w:r>
              <w:rPr/>
              <w:t>2/20/2024</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tcMar>
              <w:bottom w:w="28" w:type="dxa"/>
            </w:tcMar>
            <w:vAlign w:val="center"/>
          </w:tcPr>
          <w:p>
            <w:pPr>
              <w:pStyle w:val="TableContents"/>
              <w:bidi w:val="0"/>
              <w:spacing w:before="0" w:after="283"/>
              <w:jc w:val="left"/>
              <w:rPr/>
            </w:pPr>
            <w:r>
              <w:rPr/>
              <w:t> </w:t>
            </w:r>
          </w:p>
        </w:tc>
        <w:tc>
          <w:tcPr>
            <w:tcW w:w="99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1134"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1138"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3" w:type="dxa"/>
            <w:tcBorders>
              <w:bottom w:val="single" w:sz="6" w:space="0" w:color="000000"/>
            </w:tcBorders>
            <w:tcMar>
              <w:bottom w:w="80" w:type="dxa"/>
            </w:tcMar>
            <w:vAlign w:val="center"/>
          </w:tcPr>
          <w:p>
            <w:pPr>
              <w:pStyle w:val="TableContents"/>
              <w:bidi w:val="0"/>
              <w:spacing w:before="0" w:after="283"/>
              <w:jc w:val="left"/>
              <w:rPr/>
            </w:pPr>
            <w:r>
              <w:rPr/>
              <w:t> </w:t>
            </w:r>
          </w:p>
        </w:tc>
        <w:tc>
          <w:tcPr>
            <w:tcW w:w="967" w:type="dxa"/>
            <w:tcBorders>
              <w:bottom w:val="single" w:sz="6" w:space="0" w:color="000000"/>
            </w:tcBorders>
            <w:tcMar>
              <w:bottom w:w="80" w:type="dxa"/>
            </w:tcMar>
            <w:vAlign w:val="center"/>
          </w:tcPr>
          <w:p>
            <w:pPr>
              <w:pStyle w:val="TableContents"/>
              <w:bidi w:val="0"/>
              <w:spacing w:before="0" w:after="283"/>
              <w:jc w:val="right"/>
              <w:rPr/>
            </w:pPr>
            <w:r>
              <w:rPr/>
              <w:t>3,035   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99" w:type="dxa"/>
            <w:tcBorders>
              <w:bottom w:val="single" w:sz="6" w:space="0" w:color="000000"/>
            </w:tcBorders>
            <w:tcMar>
              <w:bottom w:w="28" w:type="dxa"/>
            </w:tcMar>
            <w:vAlign w:val="center"/>
          </w:tcPr>
          <w:p>
            <w:pPr>
              <w:pStyle w:val="TableContents"/>
              <w:bidi w:val="0"/>
              <w:spacing w:before="0" w:after="283"/>
              <w:jc w:val="left"/>
              <w:rPr/>
            </w:pPr>
            <w:r>
              <w:rPr/>
              <w:t>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1130" w:type="dxa"/>
            <w:tcBorders>
              <w:bottom w:val="single" w:sz="6" w:space="0" w:color="000000"/>
            </w:tcBorders>
            <w:tcMar>
              <w:bottom w:w="80" w:type="dxa"/>
            </w:tcMar>
            <w:vAlign w:val="center"/>
          </w:tcPr>
          <w:p>
            <w:pPr>
              <w:pStyle w:val="TableContents"/>
              <w:bidi w:val="0"/>
              <w:spacing w:before="0" w:after="283"/>
              <w:jc w:val="right"/>
              <w:rPr/>
            </w:pPr>
            <w:r>
              <w:rPr/>
              <w:t>6,069   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99" w:type="dxa"/>
            <w:tcBorders>
              <w:bottom w:val="single" w:sz="6" w:space="0" w:color="000000"/>
            </w:tcBorders>
            <w:tcMar>
              <w:bottom w:w="28" w:type="dxa"/>
            </w:tcMar>
            <w:vAlign w:val="center"/>
          </w:tcPr>
          <w:p>
            <w:pPr>
              <w:pStyle w:val="TableContents"/>
              <w:bidi w:val="0"/>
              <w:spacing w:before="0" w:after="283"/>
              <w:jc w:val="left"/>
              <w:rPr/>
            </w:pPr>
            <w:r>
              <w:rPr/>
              <w:t>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1137" w:type="dxa"/>
            <w:tcBorders>
              <w:bottom w:val="single" w:sz="6" w:space="0" w:color="000000"/>
            </w:tcBorders>
            <w:tcMar>
              <w:bottom w:w="80" w:type="dxa"/>
            </w:tcMar>
            <w:vAlign w:val="center"/>
          </w:tcPr>
          <w:p>
            <w:pPr>
              <w:pStyle w:val="TableContents"/>
              <w:bidi w:val="0"/>
              <w:spacing w:before="0" w:after="283"/>
              <w:jc w:val="right"/>
              <w:rPr/>
            </w:pPr>
            <w:r>
              <w:rPr/>
              <w:t>12,138   </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980" w:type="dxa"/>
            <w:tcBorders>
              <w:bottom w:val="single" w:sz="6" w:space="0" w:color="000000"/>
            </w:tcBorders>
            <w:tcMar>
              <w:bottom w:w="80" w:type="dxa"/>
            </w:tcMar>
            <w:vAlign w:val="center"/>
          </w:tcPr>
          <w:p>
            <w:pPr>
              <w:pStyle w:val="TableContents"/>
              <w:bidi w:val="0"/>
              <w:spacing w:before="0" w:after="283"/>
              <w:jc w:val="right"/>
              <w:rPr/>
            </w:pPr>
            <w:r>
              <w:rPr/>
              <w:t>1,249,971</w:t>
            </w:r>
          </w:p>
        </w:tc>
        <w:tc>
          <w:tcPr>
            <w:tcW w:w="75" w:type="dxa"/>
            <w:tcBorders>
              <w:bottom w:val="single" w:sz="6" w:space="0" w:color="000000"/>
            </w:tcBorders>
            <w:tcMar>
              <w:bottom w:w="80" w:type="dxa"/>
            </w:tcMar>
            <w:vAlign w:val="center"/>
          </w:tcPr>
          <w:p>
            <w:pPr>
              <w:pStyle w:val="TableContents"/>
              <w:bidi w:val="0"/>
              <w:spacing w:before="0" w:after="283"/>
              <w:jc w:val="left"/>
              <w:rPr/>
            </w:pPr>
            <w:r>
              <w:rPr/>
              <w:t> </w:t>
            </w:r>
          </w:p>
        </w:tc>
      </w:tr>
      <w:tr>
        <w:trPr/>
        <w:tc>
          <w:tcPr>
            <w:tcW w:w="1760" w:type="dxa"/>
            <w:tcBorders/>
            <w:shd w:fill="D5DBE3" w:val="clear"/>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341" w:type="dxa"/>
            <w:gridSpan w:val="4"/>
            <w:tcBorders/>
            <w:vAlign w:val="center"/>
          </w:tcPr>
          <w:p>
            <w:pPr>
              <w:pStyle w:val="TableContents"/>
              <w:bidi w:val="0"/>
              <w:spacing w:before="0" w:after="283"/>
              <w:jc w:val="left"/>
              <w:rPr>
                <w:sz w:val="4"/>
                <w:szCs w:val="4"/>
              </w:rPr>
            </w:pPr>
            <w:r>
              <w:rPr>
                <w:sz w:val="4"/>
                <w:szCs w:val="4"/>
              </w:rPr>
            </w:r>
          </w:p>
        </w:tc>
        <w:tc>
          <w:tcPr>
            <w:tcW w:w="1336"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427"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shd w:fill="D5DBE3" w:val="clear"/>
            <w:vAlign w:val="center"/>
          </w:tcPr>
          <w:p>
            <w:pPr>
              <w:pStyle w:val="TableContents"/>
              <w:bidi w:val="0"/>
              <w:spacing w:before="0" w:after="0"/>
              <w:jc w:val="left"/>
              <w:rPr/>
            </w:pPr>
            <w:r>
              <w:rPr/>
              <w:t> </w:t>
            </w:r>
            <w:r>
              <w:rPr>
                <w:rFonts w:ascii="arial" w:hAnsi="arial"/>
                <w:sz w:val="20"/>
              </w:rPr>
              <w:t>Brad A. Wheeler</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225,000  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450,000</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900,000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341" w:type="dxa"/>
            <w:gridSpan w:val="4"/>
            <w:tcBorders/>
            <w:vAlign w:val="center"/>
          </w:tcPr>
          <w:p>
            <w:pPr>
              <w:pStyle w:val="TableContents"/>
              <w:bidi w:val="0"/>
              <w:spacing w:before="0" w:after="283"/>
              <w:jc w:val="left"/>
              <w:rPr>
                <w:sz w:val="4"/>
                <w:szCs w:val="4"/>
              </w:rPr>
            </w:pPr>
            <w:r>
              <w:rPr>
                <w:sz w:val="4"/>
                <w:szCs w:val="4"/>
              </w:rPr>
            </w:r>
          </w:p>
        </w:tc>
        <w:tc>
          <w:tcPr>
            <w:tcW w:w="1336"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427"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6" w:space="0" w:color="000000"/>
            </w:tcBorders>
            <w:tcMar>
              <w:bottom w:w="80" w:type="dxa"/>
            </w:tcMar>
            <w:vAlign w:val="center"/>
          </w:tcPr>
          <w:p>
            <w:pPr>
              <w:pStyle w:val="TableContents"/>
              <w:bidi w:val="0"/>
              <w:spacing w:before="0" w:after="0"/>
              <w:jc w:val="left"/>
              <w:rPr>
                <w:rFonts w:ascii="arial" w:hAnsi="arial"/>
                <w:sz w:val="20"/>
              </w:rPr>
            </w:pPr>
            <w:r>
              <w:rPr>
                <w:rFonts w:ascii="arial" w:hAnsi="arial"/>
                <w:sz w:val="20"/>
              </w:rPr>
              <w:t>Performance-Based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 w:type="dxa"/>
            <w:tcBorders>
              <w:bottom w:val="single" w:sz="6" w:space="0" w:color="000000"/>
            </w:tcBorders>
            <w:tcMar>
              <w:bottom w:w="80" w:type="dxa"/>
            </w:tcMar>
            <w:vAlign w:val="center"/>
          </w:tcPr>
          <w:p>
            <w:pPr>
              <w:pStyle w:val="TableContents"/>
              <w:bidi w:val="0"/>
              <w:spacing w:before="0" w:after="283"/>
              <w:jc w:val="left"/>
              <w:rPr/>
            </w:pPr>
            <w:r>
              <w:rPr/>
              <w:t> </w:t>
            </w:r>
          </w:p>
        </w:tc>
        <w:tc>
          <w:tcPr>
            <w:tcW w:w="1050" w:type="dxa"/>
            <w:tcBorders>
              <w:bottom w:val="single" w:sz="6" w:space="0" w:color="000000"/>
            </w:tcBorders>
            <w:tcMar>
              <w:bottom w:w="80" w:type="dxa"/>
            </w:tcMar>
            <w:vAlign w:val="center"/>
          </w:tcPr>
          <w:p>
            <w:pPr>
              <w:pStyle w:val="TableContents"/>
              <w:bidi w:val="0"/>
              <w:spacing w:before="0" w:after="283"/>
              <w:jc w:val="right"/>
              <w:rPr/>
            </w:pPr>
            <w:r>
              <w:rPr/>
              <w:t>2/20/2024</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tcMar>
              <w:bottom w:w="28" w:type="dxa"/>
            </w:tcMar>
            <w:vAlign w:val="center"/>
          </w:tcPr>
          <w:p>
            <w:pPr>
              <w:pStyle w:val="TableContents"/>
              <w:bidi w:val="0"/>
              <w:spacing w:before="0" w:after="283"/>
              <w:jc w:val="left"/>
              <w:rPr/>
            </w:pPr>
            <w:r>
              <w:rPr/>
              <w:t> </w:t>
            </w:r>
          </w:p>
        </w:tc>
        <w:tc>
          <w:tcPr>
            <w:tcW w:w="99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1134"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1138"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3" w:type="dxa"/>
            <w:tcBorders>
              <w:bottom w:val="single" w:sz="6" w:space="0" w:color="000000"/>
            </w:tcBorders>
            <w:tcMar>
              <w:bottom w:w="80" w:type="dxa"/>
            </w:tcMar>
            <w:vAlign w:val="center"/>
          </w:tcPr>
          <w:p>
            <w:pPr>
              <w:pStyle w:val="TableContents"/>
              <w:bidi w:val="0"/>
              <w:spacing w:before="0" w:after="283"/>
              <w:jc w:val="left"/>
              <w:rPr/>
            </w:pPr>
            <w:r>
              <w:rPr/>
              <w:t> </w:t>
            </w:r>
          </w:p>
        </w:tc>
        <w:tc>
          <w:tcPr>
            <w:tcW w:w="967" w:type="dxa"/>
            <w:tcBorders>
              <w:bottom w:val="single" w:sz="6" w:space="0" w:color="000000"/>
            </w:tcBorders>
            <w:tcMar>
              <w:bottom w:w="80" w:type="dxa"/>
            </w:tcMar>
            <w:vAlign w:val="center"/>
          </w:tcPr>
          <w:p>
            <w:pPr>
              <w:pStyle w:val="TableContents"/>
              <w:bidi w:val="0"/>
              <w:spacing w:before="0" w:after="283"/>
              <w:jc w:val="right"/>
              <w:rPr/>
            </w:pPr>
            <w:r>
              <w:rPr/>
              <w:t>2,330   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99" w:type="dxa"/>
            <w:tcBorders>
              <w:bottom w:val="single" w:sz="6" w:space="0" w:color="000000"/>
            </w:tcBorders>
            <w:tcMar>
              <w:bottom w:w="28" w:type="dxa"/>
            </w:tcMar>
            <w:vAlign w:val="center"/>
          </w:tcPr>
          <w:p>
            <w:pPr>
              <w:pStyle w:val="TableContents"/>
              <w:bidi w:val="0"/>
              <w:spacing w:before="0" w:after="283"/>
              <w:jc w:val="left"/>
              <w:rPr/>
            </w:pPr>
            <w:r>
              <w:rPr/>
              <w:t>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1130" w:type="dxa"/>
            <w:tcBorders>
              <w:bottom w:val="single" w:sz="6" w:space="0" w:color="000000"/>
            </w:tcBorders>
            <w:tcMar>
              <w:bottom w:w="80" w:type="dxa"/>
            </w:tcMar>
            <w:vAlign w:val="center"/>
          </w:tcPr>
          <w:p>
            <w:pPr>
              <w:pStyle w:val="TableContents"/>
              <w:bidi w:val="0"/>
              <w:spacing w:before="0" w:after="283"/>
              <w:jc w:val="right"/>
              <w:rPr/>
            </w:pPr>
            <w:r>
              <w:rPr/>
              <w:t>4,659   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99" w:type="dxa"/>
            <w:tcBorders>
              <w:bottom w:val="single" w:sz="6" w:space="0" w:color="000000"/>
            </w:tcBorders>
            <w:tcMar>
              <w:bottom w:w="28" w:type="dxa"/>
            </w:tcMar>
            <w:vAlign w:val="center"/>
          </w:tcPr>
          <w:p>
            <w:pPr>
              <w:pStyle w:val="TableContents"/>
              <w:bidi w:val="0"/>
              <w:spacing w:before="0" w:after="283"/>
              <w:jc w:val="left"/>
              <w:rPr/>
            </w:pPr>
            <w:r>
              <w:rPr/>
              <w:t>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1137" w:type="dxa"/>
            <w:tcBorders>
              <w:bottom w:val="single" w:sz="6" w:space="0" w:color="000000"/>
            </w:tcBorders>
            <w:tcMar>
              <w:bottom w:w="80" w:type="dxa"/>
            </w:tcMar>
            <w:vAlign w:val="center"/>
          </w:tcPr>
          <w:p>
            <w:pPr>
              <w:pStyle w:val="TableContents"/>
              <w:bidi w:val="0"/>
              <w:spacing w:before="0" w:after="283"/>
              <w:jc w:val="right"/>
              <w:rPr/>
            </w:pPr>
            <w:r>
              <w:rPr/>
              <w:t>9,318   </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980" w:type="dxa"/>
            <w:tcBorders>
              <w:bottom w:val="single" w:sz="6" w:space="0" w:color="000000"/>
            </w:tcBorders>
            <w:tcMar>
              <w:bottom w:w="80" w:type="dxa"/>
            </w:tcMar>
            <w:vAlign w:val="center"/>
          </w:tcPr>
          <w:p>
            <w:pPr>
              <w:pStyle w:val="TableContents"/>
              <w:bidi w:val="0"/>
              <w:spacing w:before="0" w:after="283"/>
              <w:jc w:val="right"/>
              <w:rPr/>
            </w:pPr>
            <w:r>
              <w:rPr/>
              <w:t>999,936</w:t>
            </w:r>
          </w:p>
        </w:tc>
        <w:tc>
          <w:tcPr>
            <w:tcW w:w="75" w:type="dxa"/>
            <w:tcBorders>
              <w:bottom w:val="single" w:sz="6" w:space="0" w:color="000000"/>
            </w:tcBorders>
            <w:tcMar>
              <w:bottom w:w="80" w:type="dxa"/>
            </w:tcMar>
            <w:vAlign w:val="center"/>
          </w:tcPr>
          <w:p>
            <w:pPr>
              <w:pStyle w:val="TableContents"/>
              <w:bidi w:val="0"/>
              <w:spacing w:before="0" w:after="283"/>
              <w:jc w:val="left"/>
              <w:rPr/>
            </w:pPr>
            <w:r>
              <w:rPr/>
              <w:t> </w:t>
            </w:r>
          </w:p>
        </w:tc>
      </w:tr>
      <w:tr>
        <w:trPr/>
        <w:tc>
          <w:tcPr>
            <w:tcW w:w="1760" w:type="dxa"/>
            <w:tcBorders/>
            <w:shd w:fill="D5DBE3" w:val="clear"/>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341" w:type="dxa"/>
            <w:gridSpan w:val="4"/>
            <w:tcBorders/>
            <w:vAlign w:val="center"/>
          </w:tcPr>
          <w:p>
            <w:pPr>
              <w:pStyle w:val="TableContents"/>
              <w:bidi w:val="0"/>
              <w:spacing w:before="0" w:after="283"/>
              <w:jc w:val="left"/>
              <w:rPr>
                <w:sz w:val="4"/>
                <w:szCs w:val="4"/>
              </w:rPr>
            </w:pPr>
            <w:r>
              <w:rPr>
                <w:sz w:val="4"/>
                <w:szCs w:val="4"/>
              </w:rPr>
            </w:r>
          </w:p>
        </w:tc>
        <w:tc>
          <w:tcPr>
            <w:tcW w:w="1336"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427"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shd w:fill="D5DBE3" w:val="clear"/>
            <w:vAlign w:val="center"/>
          </w:tcPr>
          <w:p>
            <w:pPr>
              <w:pStyle w:val="TableContents"/>
              <w:bidi w:val="0"/>
              <w:spacing w:before="0" w:after="0"/>
              <w:jc w:val="left"/>
              <w:rPr/>
            </w:pPr>
            <w:r>
              <w:rPr/>
              <w:t> </w:t>
            </w:r>
            <w:r>
              <w:rPr>
                <w:rFonts w:ascii="arial" w:hAnsi="arial"/>
                <w:sz w:val="20"/>
              </w:rPr>
              <w:t>W. Jeffrey Hire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112,500  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225,000</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450,000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341" w:type="dxa"/>
            <w:gridSpan w:val="4"/>
            <w:tcBorders/>
            <w:vAlign w:val="center"/>
          </w:tcPr>
          <w:p>
            <w:pPr>
              <w:pStyle w:val="TableContents"/>
              <w:bidi w:val="0"/>
              <w:spacing w:before="0" w:after="283"/>
              <w:jc w:val="left"/>
              <w:rPr>
                <w:sz w:val="4"/>
                <w:szCs w:val="4"/>
              </w:rPr>
            </w:pPr>
            <w:r>
              <w:rPr>
                <w:sz w:val="4"/>
                <w:szCs w:val="4"/>
              </w:rPr>
            </w:r>
          </w:p>
        </w:tc>
        <w:tc>
          <w:tcPr>
            <w:tcW w:w="1336"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427"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6" w:space="0" w:color="000000"/>
            </w:tcBorders>
            <w:tcMar>
              <w:bottom w:w="80" w:type="dxa"/>
            </w:tcMar>
            <w:vAlign w:val="center"/>
          </w:tcPr>
          <w:p>
            <w:pPr>
              <w:pStyle w:val="TableContents"/>
              <w:bidi w:val="0"/>
              <w:spacing w:before="0" w:after="0"/>
              <w:jc w:val="left"/>
              <w:rPr>
                <w:rFonts w:ascii="arial" w:hAnsi="arial"/>
                <w:sz w:val="20"/>
              </w:rPr>
            </w:pPr>
            <w:r>
              <w:rPr>
                <w:rFonts w:ascii="arial" w:hAnsi="arial"/>
                <w:sz w:val="20"/>
              </w:rPr>
              <w:t>Performance-Based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 w:type="dxa"/>
            <w:tcBorders>
              <w:bottom w:val="single" w:sz="6" w:space="0" w:color="000000"/>
            </w:tcBorders>
            <w:tcMar>
              <w:bottom w:w="80" w:type="dxa"/>
            </w:tcMar>
            <w:vAlign w:val="center"/>
          </w:tcPr>
          <w:p>
            <w:pPr>
              <w:pStyle w:val="TableContents"/>
              <w:bidi w:val="0"/>
              <w:spacing w:before="0" w:after="283"/>
              <w:jc w:val="left"/>
              <w:rPr/>
            </w:pPr>
            <w:r>
              <w:rPr/>
              <w:t> </w:t>
            </w:r>
          </w:p>
        </w:tc>
        <w:tc>
          <w:tcPr>
            <w:tcW w:w="1050" w:type="dxa"/>
            <w:tcBorders>
              <w:bottom w:val="single" w:sz="6" w:space="0" w:color="000000"/>
            </w:tcBorders>
            <w:tcMar>
              <w:bottom w:w="80" w:type="dxa"/>
            </w:tcMar>
            <w:vAlign w:val="center"/>
          </w:tcPr>
          <w:p>
            <w:pPr>
              <w:pStyle w:val="TableContents"/>
              <w:bidi w:val="0"/>
              <w:spacing w:before="0" w:after="283"/>
              <w:jc w:val="right"/>
              <w:rPr/>
            </w:pPr>
            <w:r>
              <w:rPr/>
              <w:t>2/20/2024</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tcMar>
              <w:bottom w:w="28" w:type="dxa"/>
            </w:tcMar>
            <w:vAlign w:val="center"/>
          </w:tcPr>
          <w:p>
            <w:pPr>
              <w:pStyle w:val="TableContents"/>
              <w:bidi w:val="0"/>
              <w:spacing w:before="0" w:after="283"/>
              <w:jc w:val="left"/>
              <w:rPr/>
            </w:pPr>
            <w:r>
              <w:rPr/>
              <w:t> </w:t>
            </w:r>
          </w:p>
        </w:tc>
        <w:tc>
          <w:tcPr>
            <w:tcW w:w="99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1134"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28" w:type="dxa"/>
            </w:tcMar>
            <w:vAlign w:val="center"/>
          </w:tcPr>
          <w:p>
            <w:pPr>
              <w:pStyle w:val="TableContents"/>
              <w:bidi w:val="0"/>
              <w:spacing w:before="0" w:after="283"/>
              <w:jc w:val="left"/>
              <w:rPr/>
            </w:pPr>
            <w:r>
              <w:rPr/>
              <w:t> </w:t>
            </w:r>
          </w:p>
        </w:tc>
        <w:tc>
          <w:tcPr>
            <w:tcW w:w="1138"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3" w:type="dxa"/>
            <w:tcBorders>
              <w:bottom w:val="single" w:sz="6" w:space="0" w:color="000000"/>
            </w:tcBorders>
            <w:tcMar>
              <w:bottom w:w="80" w:type="dxa"/>
            </w:tcMar>
            <w:vAlign w:val="center"/>
          </w:tcPr>
          <w:p>
            <w:pPr>
              <w:pStyle w:val="TableContents"/>
              <w:bidi w:val="0"/>
              <w:spacing w:before="0" w:after="283"/>
              <w:jc w:val="left"/>
              <w:rPr/>
            </w:pPr>
            <w:r>
              <w:rPr/>
              <w:t> </w:t>
            </w:r>
          </w:p>
        </w:tc>
        <w:tc>
          <w:tcPr>
            <w:tcW w:w="967" w:type="dxa"/>
            <w:tcBorders>
              <w:bottom w:val="single" w:sz="6" w:space="0" w:color="000000"/>
            </w:tcBorders>
            <w:tcMar>
              <w:bottom w:w="80" w:type="dxa"/>
            </w:tcMar>
            <w:vAlign w:val="center"/>
          </w:tcPr>
          <w:p>
            <w:pPr>
              <w:pStyle w:val="TableContents"/>
              <w:bidi w:val="0"/>
              <w:spacing w:before="0" w:after="283"/>
              <w:jc w:val="right"/>
              <w:rPr/>
            </w:pPr>
            <w:r>
              <w:rPr/>
              <w:t>668   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99" w:type="dxa"/>
            <w:tcBorders>
              <w:bottom w:val="single" w:sz="6" w:space="0" w:color="000000"/>
            </w:tcBorders>
            <w:tcMar>
              <w:bottom w:w="28" w:type="dxa"/>
            </w:tcMar>
            <w:vAlign w:val="center"/>
          </w:tcPr>
          <w:p>
            <w:pPr>
              <w:pStyle w:val="TableContents"/>
              <w:bidi w:val="0"/>
              <w:spacing w:before="0" w:after="283"/>
              <w:jc w:val="left"/>
              <w:rPr/>
            </w:pPr>
            <w:r>
              <w:rPr/>
              <w:t>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1130" w:type="dxa"/>
            <w:tcBorders>
              <w:bottom w:val="single" w:sz="6" w:space="0" w:color="000000"/>
            </w:tcBorders>
            <w:tcMar>
              <w:bottom w:w="80" w:type="dxa"/>
            </w:tcMar>
            <w:vAlign w:val="center"/>
          </w:tcPr>
          <w:p>
            <w:pPr>
              <w:pStyle w:val="TableContents"/>
              <w:bidi w:val="0"/>
              <w:spacing w:before="0" w:after="283"/>
              <w:jc w:val="right"/>
              <w:rPr/>
            </w:pPr>
            <w:r>
              <w:rPr/>
              <w:t>1,335   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99" w:type="dxa"/>
            <w:tcBorders>
              <w:bottom w:val="single" w:sz="6" w:space="0" w:color="000000"/>
            </w:tcBorders>
            <w:tcMar>
              <w:bottom w:w="28" w:type="dxa"/>
            </w:tcMar>
            <w:vAlign w:val="center"/>
          </w:tcPr>
          <w:p>
            <w:pPr>
              <w:pStyle w:val="TableContents"/>
              <w:bidi w:val="0"/>
              <w:spacing w:before="0" w:after="283"/>
              <w:jc w:val="left"/>
              <w:rPr/>
            </w:pPr>
            <w:r>
              <w:rPr/>
              <w:t> </w:t>
            </w:r>
          </w:p>
        </w:tc>
        <w:tc>
          <w:tcPr>
            <w:tcW w:w="99" w:type="dxa"/>
            <w:tcBorders>
              <w:bottom w:val="single" w:sz="6" w:space="0" w:color="000000"/>
            </w:tcBorders>
            <w:tcMar>
              <w:bottom w:w="80" w:type="dxa"/>
            </w:tcMar>
            <w:vAlign w:val="center"/>
          </w:tcPr>
          <w:p>
            <w:pPr>
              <w:pStyle w:val="TableContents"/>
              <w:bidi w:val="0"/>
              <w:spacing w:before="0" w:after="283"/>
              <w:jc w:val="left"/>
              <w:rPr/>
            </w:pPr>
            <w:r>
              <w:rPr/>
              <w:t> </w:t>
            </w:r>
          </w:p>
        </w:tc>
        <w:tc>
          <w:tcPr>
            <w:tcW w:w="1137" w:type="dxa"/>
            <w:tcBorders>
              <w:bottom w:val="single" w:sz="6" w:space="0" w:color="000000"/>
            </w:tcBorders>
            <w:tcMar>
              <w:bottom w:w="80" w:type="dxa"/>
            </w:tcMar>
            <w:vAlign w:val="center"/>
          </w:tcPr>
          <w:p>
            <w:pPr>
              <w:pStyle w:val="TableContents"/>
              <w:bidi w:val="0"/>
              <w:spacing w:before="0" w:after="283"/>
              <w:jc w:val="right"/>
              <w:rPr/>
            </w:pPr>
            <w:r>
              <w:rPr/>
              <w:t>2,670   </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980" w:type="dxa"/>
            <w:tcBorders>
              <w:bottom w:val="single" w:sz="6" w:space="0" w:color="000000"/>
            </w:tcBorders>
            <w:tcMar>
              <w:bottom w:w="80" w:type="dxa"/>
            </w:tcMar>
            <w:vAlign w:val="center"/>
          </w:tcPr>
          <w:p>
            <w:pPr>
              <w:pStyle w:val="TableContents"/>
              <w:bidi w:val="0"/>
              <w:spacing w:before="0" w:after="283"/>
              <w:jc w:val="right"/>
              <w:rPr/>
            </w:pPr>
            <w:r>
              <w:rPr/>
              <w:t>274,957</w:t>
            </w:r>
          </w:p>
        </w:tc>
        <w:tc>
          <w:tcPr>
            <w:tcW w:w="75" w:type="dxa"/>
            <w:tcBorders>
              <w:bottom w:val="single" w:sz="6" w:space="0" w:color="000000"/>
            </w:tcBorders>
            <w:tcMar>
              <w:bottom w:w="80" w:type="dxa"/>
            </w:tcMar>
            <w:vAlign w:val="center"/>
          </w:tcPr>
          <w:p>
            <w:pPr>
              <w:pStyle w:val="TableContents"/>
              <w:bidi w:val="0"/>
              <w:spacing w:before="0" w:after="283"/>
              <w:jc w:val="left"/>
              <w:rPr/>
            </w:pPr>
            <w:r>
              <w:rPr/>
              <w:t> </w:t>
            </w:r>
          </w:p>
        </w:tc>
      </w:tr>
      <w:tr>
        <w:trPr/>
        <w:tc>
          <w:tcPr>
            <w:tcW w:w="1760" w:type="dxa"/>
            <w:tcBorders/>
            <w:shd w:fill="D5DBE3" w:val="clear"/>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341" w:type="dxa"/>
            <w:gridSpan w:val="4"/>
            <w:tcBorders/>
            <w:vAlign w:val="center"/>
          </w:tcPr>
          <w:p>
            <w:pPr>
              <w:pStyle w:val="TableContents"/>
              <w:bidi w:val="0"/>
              <w:spacing w:before="0" w:after="283"/>
              <w:jc w:val="left"/>
              <w:rPr>
                <w:sz w:val="4"/>
                <w:szCs w:val="4"/>
              </w:rPr>
            </w:pPr>
            <w:r>
              <w:rPr>
                <w:sz w:val="4"/>
                <w:szCs w:val="4"/>
              </w:rPr>
            </w:r>
          </w:p>
        </w:tc>
        <w:tc>
          <w:tcPr>
            <w:tcW w:w="1336"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427"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shd w:fill="D5DBE3" w:val="clear"/>
            <w:vAlign w:val="center"/>
          </w:tcPr>
          <w:p>
            <w:pPr>
              <w:pStyle w:val="TableContents"/>
              <w:bidi w:val="0"/>
              <w:spacing w:before="0" w:after="0"/>
              <w:jc w:val="left"/>
              <w:rPr/>
            </w:pPr>
            <w:r>
              <w:rPr/>
              <w:t> </w:t>
            </w:r>
            <w:r>
              <w:rPr>
                <w:rFonts w:ascii="arial" w:hAnsi="arial"/>
                <w:sz w:val="20"/>
              </w:rPr>
              <w:t>Jason R. Niswonger</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145,000  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290,000</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580,000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341" w:type="dxa"/>
            <w:gridSpan w:val="4"/>
            <w:tcBorders/>
            <w:vAlign w:val="center"/>
          </w:tcPr>
          <w:p>
            <w:pPr>
              <w:pStyle w:val="TableContents"/>
              <w:bidi w:val="0"/>
              <w:spacing w:before="0" w:after="283"/>
              <w:jc w:val="left"/>
              <w:rPr>
                <w:sz w:val="4"/>
                <w:szCs w:val="4"/>
              </w:rPr>
            </w:pPr>
            <w:r>
              <w:rPr>
                <w:sz w:val="4"/>
                <w:szCs w:val="4"/>
              </w:rPr>
            </w:r>
          </w:p>
        </w:tc>
        <w:tc>
          <w:tcPr>
            <w:tcW w:w="1336"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427"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12" w:space="0" w:color="1070B8"/>
            </w:tcBorders>
            <w:tcMar>
              <w:bottom w:w="80" w:type="dxa"/>
            </w:tcMar>
            <w:vAlign w:val="center"/>
          </w:tcPr>
          <w:p>
            <w:pPr>
              <w:pStyle w:val="TableContents"/>
              <w:bidi w:val="0"/>
              <w:spacing w:before="0" w:after="0"/>
              <w:jc w:val="left"/>
              <w:rPr>
                <w:rFonts w:ascii="arial" w:hAnsi="arial"/>
                <w:sz w:val="20"/>
              </w:rPr>
            </w:pPr>
            <w:r>
              <w:rPr>
                <w:rFonts w:ascii="arial" w:hAnsi="arial"/>
                <w:sz w:val="20"/>
              </w:rPr>
              <w:t>Performance-Based</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5" w:type="dxa"/>
            <w:tcBorders>
              <w:bottom w:val="single" w:sz="12" w:space="0" w:color="1070B8"/>
            </w:tcBorders>
            <w:tcMar>
              <w:bottom w:w="80" w:type="dxa"/>
            </w:tcMar>
            <w:vAlign w:val="center"/>
          </w:tcPr>
          <w:p>
            <w:pPr>
              <w:pStyle w:val="TableContents"/>
              <w:bidi w:val="0"/>
              <w:spacing w:before="0" w:after="283"/>
              <w:jc w:val="left"/>
              <w:rPr/>
            </w:pPr>
            <w:r>
              <w:rPr/>
              <w:t> </w:t>
            </w:r>
          </w:p>
        </w:tc>
        <w:tc>
          <w:tcPr>
            <w:tcW w:w="1050" w:type="dxa"/>
            <w:tcBorders>
              <w:bottom w:val="single" w:sz="12" w:space="0" w:color="1070B8"/>
            </w:tcBorders>
            <w:tcMar>
              <w:bottom w:w="80" w:type="dxa"/>
            </w:tcMar>
            <w:vAlign w:val="center"/>
          </w:tcPr>
          <w:p>
            <w:pPr>
              <w:pStyle w:val="TableContents"/>
              <w:bidi w:val="0"/>
              <w:spacing w:before="0" w:after="283"/>
              <w:jc w:val="right"/>
              <w:rPr/>
            </w:pPr>
            <w:r>
              <w:rPr/>
              <w:t>2/20/2024</w:t>
            </w:r>
          </w:p>
        </w:tc>
        <w:tc>
          <w:tcPr>
            <w:tcW w:w="60" w:type="dxa"/>
            <w:tcBorders>
              <w:bottom w:val="single" w:sz="12" w:space="0" w:color="1070B8"/>
            </w:tcBorders>
            <w:tcMar>
              <w:bottom w:w="80"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71" w:type="dxa"/>
            <w:tcBorders>
              <w:bottom w:val="single" w:sz="12" w:space="0" w:color="1070B8"/>
            </w:tcBorders>
            <w:tcMar>
              <w:bottom w:w="28" w:type="dxa"/>
            </w:tcMar>
            <w:vAlign w:val="center"/>
          </w:tcPr>
          <w:p>
            <w:pPr>
              <w:pStyle w:val="TableContents"/>
              <w:bidi w:val="0"/>
              <w:spacing w:before="0" w:after="283"/>
              <w:jc w:val="left"/>
              <w:rPr/>
            </w:pPr>
            <w:r>
              <w:rPr/>
              <w:t> </w:t>
            </w:r>
          </w:p>
        </w:tc>
        <w:tc>
          <w:tcPr>
            <w:tcW w:w="999" w:type="dxa"/>
            <w:tcBorders>
              <w:bottom w:val="single" w:sz="12" w:space="0" w:color="1070B8"/>
            </w:tcBorders>
            <w:tcMar>
              <w:bottom w:w="28" w:type="dxa"/>
            </w:tcMar>
            <w:vAlign w:val="center"/>
          </w:tcPr>
          <w:p>
            <w:pPr>
              <w:pStyle w:val="TableContents"/>
              <w:bidi w:val="0"/>
              <w:spacing w:before="0" w:after="283"/>
              <w:jc w:val="left"/>
              <w:rPr/>
            </w:pPr>
            <w:r>
              <w:rPr/>
              <w:t> </w:t>
            </w:r>
          </w:p>
        </w:tc>
        <w:tc>
          <w:tcPr>
            <w:tcW w:w="69" w:type="dxa"/>
            <w:tcBorders>
              <w:bottom w:val="single" w:sz="12" w:space="0" w:color="1070B8"/>
            </w:tcBorders>
            <w:tcMar>
              <w:bottom w:w="28" w:type="dxa"/>
            </w:tcMar>
            <w:vAlign w:val="center"/>
          </w:tcPr>
          <w:p>
            <w:pPr>
              <w:pStyle w:val="TableContents"/>
              <w:bidi w:val="0"/>
              <w:spacing w:before="0" w:after="283"/>
              <w:jc w:val="left"/>
              <w:rPr/>
            </w:pPr>
            <w:r>
              <w:rPr/>
              <w:t> </w:t>
            </w:r>
          </w:p>
        </w:tc>
        <w:tc>
          <w:tcPr>
            <w:tcW w:w="69" w:type="dxa"/>
            <w:tcBorders>
              <w:bottom w:val="single" w:sz="12" w:space="0" w:color="1070B8"/>
            </w:tcBorders>
            <w:tcMar>
              <w:bottom w:w="28" w:type="dxa"/>
            </w:tcMar>
            <w:vAlign w:val="center"/>
          </w:tcPr>
          <w:p>
            <w:pPr>
              <w:pStyle w:val="TableContents"/>
              <w:bidi w:val="0"/>
              <w:spacing w:before="0" w:after="283"/>
              <w:jc w:val="left"/>
              <w:rPr/>
            </w:pPr>
            <w:r>
              <w:rPr/>
              <w:t> </w:t>
            </w:r>
          </w:p>
        </w:tc>
        <w:tc>
          <w:tcPr>
            <w:tcW w:w="69" w:type="dxa"/>
            <w:tcBorders>
              <w:bottom w:val="single" w:sz="12" w:space="0" w:color="1070B8"/>
            </w:tcBorders>
            <w:tcMar>
              <w:bottom w:w="28" w:type="dxa"/>
            </w:tcMar>
            <w:vAlign w:val="center"/>
          </w:tcPr>
          <w:p>
            <w:pPr>
              <w:pStyle w:val="TableContents"/>
              <w:bidi w:val="0"/>
              <w:spacing w:before="0" w:after="283"/>
              <w:jc w:val="left"/>
              <w:rPr/>
            </w:pPr>
            <w:r>
              <w:rPr/>
              <w:t> </w:t>
            </w:r>
          </w:p>
        </w:tc>
        <w:tc>
          <w:tcPr>
            <w:tcW w:w="1134" w:type="dxa"/>
            <w:tcBorders>
              <w:bottom w:val="single" w:sz="12" w:space="0" w:color="1070B8"/>
            </w:tcBorders>
            <w:tcMar>
              <w:bottom w:w="28" w:type="dxa"/>
            </w:tcMar>
            <w:vAlign w:val="center"/>
          </w:tcPr>
          <w:p>
            <w:pPr>
              <w:pStyle w:val="TableContents"/>
              <w:bidi w:val="0"/>
              <w:spacing w:before="0" w:after="283"/>
              <w:jc w:val="left"/>
              <w:rPr/>
            </w:pPr>
            <w:r>
              <w:rPr/>
              <w:t> </w:t>
            </w:r>
          </w:p>
        </w:tc>
        <w:tc>
          <w:tcPr>
            <w:tcW w:w="69" w:type="dxa"/>
            <w:tcBorders>
              <w:bottom w:val="single" w:sz="12" w:space="0" w:color="1070B8"/>
            </w:tcBorders>
            <w:tcMar>
              <w:bottom w:w="28" w:type="dxa"/>
            </w:tcMar>
            <w:vAlign w:val="center"/>
          </w:tcPr>
          <w:p>
            <w:pPr>
              <w:pStyle w:val="TableContents"/>
              <w:bidi w:val="0"/>
              <w:spacing w:before="0" w:after="283"/>
              <w:jc w:val="left"/>
              <w:rPr/>
            </w:pPr>
            <w:r>
              <w:rPr/>
              <w:t> </w:t>
            </w:r>
          </w:p>
        </w:tc>
        <w:tc>
          <w:tcPr>
            <w:tcW w:w="69" w:type="dxa"/>
            <w:tcBorders>
              <w:bottom w:val="single" w:sz="12" w:space="0" w:color="1070B8"/>
            </w:tcBorders>
            <w:tcMar>
              <w:bottom w:w="28" w:type="dxa"/>
            </w:tcMar>
            <w:vAlign w:val="center"/>
          </w:tcPr>
          <w:p>
            <w:pPr>
              <w:pStyle w:val="TableContents"/>
              <w:bidi w:val="0"/>
              <w:spacing w:before="0" w:after="283"/>
              <w:jc w:val="left"/>
              <w:rPr/>
            </w:pPr>
            <w:r>
              <w:rPr/>
              <w:t> </w:t>
            </w:r>
          </w:p>
        </w:tc>
        <w:tc>
          <w:tcPr>
            <w:tcW w:w="69" w:type="dxa"/>
            <w:tcBorders>
              <w:bottom w:val="single" w:sz="12" w:space="0" w:color="1070B8"/>
            </w:tcBorders>
            <w:tcMar>
              <w:bottom w:w="28" w:type="dxa"/>
            </w:tcMar>
            <w:vAlign w:val="center"/>
          </w:tcPr>
          <w:p>
            <w:pPr>
              <w:pStyle w:val="TableContents"/>
              <w:bidi w:val="0"/>
              <w:spacing w:before="0" w:after="283"/>
              <w:jc w:val="left"/>
              <w:rPr/>
            </w:pPr>
            <w:r>
              <w:rPr/>
              <w:t> </w:t>
            </w:r>
          </w:p>
        </w:tc>
        <w:tc>
          <w:tcPr>
            <w:tcW w:w="1138"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03" w:type="dxa"/>
            <w:tcBorders>
              <w:bottom w:val="single" w:sz="12" w:space="0" w:color="1070B8"/>
            </w:tcBorders>
            <w:tcMar>
              <w:bottom w:w="80" w:type="dxa"/>
            </w:tcMar>
            <w:vAlign w:val="center"/>
          </w:tcPr>
          <w:p>
            <w:pPr>
              <w:pStyle w:val="TableContents"/>
              <w:bidi w:val="0"/>
              <w:spacing w:before="0" w:after="283"/>
              <w:jc w:val="left"/>
              <w:rPr/>
            </w:pPr>
            <w:r>
              <w:rPr/>
              <w:t> </w:t>
            </w:r>
          </w:p>
        </w:tc>
        <w:tc>
          <w:tcPr>
            <w:tcW w:w="967" w:type="dxa"/>
            <w:tcBorders>
              <w:bottom w:val="single" w:sz="12" w:space="0" w:color="1070B8"/>
            </w:tcBorders>
            <w:tcMar>
              <w:bottom w:w="80" w:type="dxa"/>
            </w:tcMar>
            <w:vAlign w:val="center"/>
          </w:tcPr>
          <w:p>
            <w:pPr>
              <w:pStyle w:val="TableContents"/>
              <w:bidi w:val="0"/>
              <w:spacing w:before="0" w:after="283"/>
              <w:jc w:val="right"/>
              <w:rPr/>
            </w:pPr>
            <w:r>
              <w:rPr/>
              <w:t>1,214   </w:t>
            </w:r>
          </w:p>
        </w:tc>
        <w:tc>
          <w:tcPr>
            <w:tcW w:w="99" w:type="dxa"/>
            <w:tcBorders>
              <w:bottom w:val="single" w:sz="12" w:space="0" w:color="1070B8"/>
            </w:tcBorders>
            <w:tcMar>
              <w:bottom w:w="80" w:type="dxa"/>
            </w:tcMar>
            <w:vAlign w:val="center"/>
          </w:tcPr>
          <w:p>
            <w:pPr>
              <w:pStyle w:val="TableContents"/>
              <w:bidi w:val="0"/>
              <w:spacing w:before="0" w:after="283"/>
              <w:jc w:val="left"/>
              <w:rPr/>
            </w:pPr>
            <w:r>
              <w:rPr/>
              <w:t> </w:t>
            </w:r>
          </w:p>
        </w:tc>
        <w:tc>
          <w:tcPr>
            <w:tcW w:w="99" w:type="dxa"/>
            <w:tcBorders>
              <w:bottom w:val="single" w:sz="12" w:space="0" w:color="1070B8"/>
            </w:tcBorders>
            <w:tcMar>
              <w:bottom w:w="28" w:type="dxa"/>
            </w:tcMar>
            <w:vAlign w:val="center"/>
          </w:tcPr>
          <w:p>
            <w:pPr>
              <w:pStyle w:val="TableContents"/>
              <w:bidi w:val="0"/>
              <w:spacing w:before="0" w:after="283"/>
              <w:jc w:val="left"/>
              <w:rPr/>
            </w:pPr>
            <w:r>
              <w:rPr/>
              <w:t> </w:t>
            </w:r>
          </w:p>
        </w:tc>
        <w:tc>
          <w:tcPr>
            <w:tcW w:w="99" w:type="dxa"/>
            <w:tcBorders>
              <w:bottom w:val="single" w:sz="12" w:space="0" w:color="1070B8"/>
            </w:tcBorders>
            <w:tcMar>
              <w:bottom w:w="80" w:type="dxa"/>
            </w:tcMar>
            <w:vAlign w:val="center"/>
          </w:tcPr>
          <w:p>
            <w:pPr>
              <w:pStyle w:val="TableContents"/>
              <w:bidi w:val="0"/>
              <w:spacing w:before="0" w:after="283"/>
              <w:jc w:val="left"/>
              <w:rPr/>
            </w:pPr>
            <w:r>
              <w:rPr/>
              <w:t> </w:t>
            </w:r>
          </w:p>
        </w:tc>
        <w:tc>
          <w:tcPr>
            <w:tcW w:w="1130" w:type="dxa"/>
            <w:tcBorders>
              <w:bottom w:val="single" w:sz="12" w:space="0" w:color="1070B8"/>
            </w:tcBorders>
            <w:tcMar>
              <w:bottom w:w="80" w:type="dxa"/>
            </w:tcMar>
            <w:vAlign w:val="center"/>
          </w:tcPr>
          <w:p>
            <w:pPr>
              <w:pStyle w:val="TableContents"/>
              <w:bidi w:val="0"/>
              <w:spacing w:before="0" w:after="283"/>
              <w:jc w:val="right"/>
              <w:rPr/>
            </w:pPr>
            <w:r>
              <w:rPr/>
              <w:t>2,427   </w:t>
            </w:r>
          </w:p>
        </w:tc>
        <w:tc>
          <w:tcPr>
            <w:tcW w:w="99" w:type="dxa"/>
            <w:tcBorders>
              <w:bottom w:val="single" w:sz="12" w:space="0" w:color="1070B8"/>
            </w:tcBorders>
            <w:tcMar>
              <w:bottom w:w="80" w:type="dxa"/>
            </w:tcMar>
            <w:vAlign w:val="center"/>
          </w:tcPr>
          <w:p>
            <w:pPr>
              <w:pStyle w:val="TableContents"/>
              <w:bidi w:val="0"/>
              <w:spacing w:before="0" w:after="283"/>
              <w:jc w:val="left"/>
              <w:rPr/>
            </w:pPr>
            <w:r>
              <w:rPr/>
              <w:t> </w:t>
            </w:r>
          </w:p>
        </w:tc>
        <w:tc>
          <w:tcPr>
            <w:tcW w:w="99" w:type="dxa"/>
            <w:tcBorders>
              <w:bottom w:val="single" w:sz="12" w:space="0" w:color="1070B8"/>
            </w:tcBorders>
            <w:tcMar>
              <w:bottom w:w="28" w:type="dxa"/>
            </w:tcMar>
            <w:vAlign w:val="center"/>
          </w:tcPr>
          <w:p>
            <w:pPr>
              <w:pStyle w:val="TableContents"/>
              <w:bidi w:val="0"/>
              <w:spacing w:before="0" w:after="283"/>
              <w:jc w:val="left"/>
              <w:rPr/>
            </w:pPr>
            <w:r>
              <w:rPr/>
              <w:t> </w:t>
            </w:r>
          </w:p>
        </w:tc>
        <w:tc>
          <w:tcPr>
            <w:tcW w:w="99" w:type="dxa"/>
            <w:tcBorders>
              <w:bottom w:val="single" w:sz="12" w:space="0" w:color="1070B8"/>
            </w:tcBorders>
            <w:tcMar>
              <w:bottom w:w="80" w:type="dxa"/>
            </w:tcMar>
            <w:vAlign w:val="center"/>
          </w:tcPr>
          <w:p>
            <w:pPr>
              <w:pStyle w:val="TableContents"/>
              <w:bidi w:val="0"/>
              <w:spacing w:before="0" w:after="283"/>
              <w:jc w:val="left"/>
              <w:rPr/>
            </w:pPr>
            <w:r>
              <w:rPr/>
              <w:t> </w:t>
            </w:r>
          </w:p>
        </w:tc>
        <w:tc>
          <w:tcPr>
            <w:tcW w:w="1137" w:type="dxa"/>
            <w:tcBorders>
              <w:bottom w:val="single" w:sz="12" w:space="0" w:color="1070B8"/>
            </w:tcBorders>
            <w:tcMar>
              <w:bottom w:w="80" w:type="dxa"/>
            </w:tcMar>
            <w:vAlign w:val="center"/>
          </w:tcPr>
          <w:p>
            <w:pPr>
              <w:pStyle w:val="TableContents"/>
              <w:bidi w:val="0"/>
              <w:spacing w:before="0" w:after="283"/>
              <w:jc w:val="right"/>
              <w:rPr/>
            </w:pPr>
            <w:r>
              <w:rPr/>
              <w:t>4,854   </w:t>
            </w:r>
          </w:p>
        </w:tc>
        <w:tc>
          <w:tcPr>
            <w:tcW w:w="60" w:type="dxa"/>
            <w:tcBorders>
              <w:bottom w:val="single" w:sz="12" w:space="0" w:color="1070B8"/>
            </w:tcBorders>
            <w:tcMar>
              <w:bottom w:w="80" w:type="dxa"/>
            </w:tcMar>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80" w:type="dxa"/>
            </w:tcMar>
            <w:vAlign w:val="center"/>
          </w:tcPr>
          <w:p>
            <w:pPr>
              <w:pStyle w:val="TableContents"/>
              <w:bidi w:val="0"/>
              <w:spacing w:before="0" w:after="283"/>
              <w:jc w:val="left"/>
              <w:rPr/>
            </w:pPr>
            <w:r>
              <w:rPr/>
              <w:t> </w:t>
            </w:r>
          </w:p>
        </w:tc>
        <w:tc>
          <w:tcPr>
            <w:tcW w:w="980" w:type="dxa"/>
            <w:tcBorders>
              <w:bottom w:val="single" w:sz="12" w:space="0" w:color="1070B8"/>
            </w:tcBorders>
            <w:tcMar>
              <w:bottom w:w="80" w:type="dxa"/>
            </w:tcMar>
            <w:vAlign w:val="center"/>
          </w:tcPr>
          <w:p>
            <w:pPr>
              <w:pStyle w:val="TableContents"/>
              <w:bidi w:val="0"/>
              <w:spacing w:before="0" w:after="283"/>
              <w:jc w:val="right"/>
              <w:rPr/>
            </w:pPr>
            <w:r>
              <w:rPr/>
              <w:t>499,865</w:t>
            </w:r>
          </w:p>
        </w:tc>
        <w:tc>
          <w:tcPr>
            <w:tcW w:w="75" w:type="dxa"/>
            <w:tcBorders>
              <w:bottom w:val="single" w:sz="12" w:space="0" w:color="1070B8"/>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0"/>
              <w:jc w:val="left"/>
              <w:rPr>
                <w:rFonts w:ascii="arial" w:hAnsi="arial"/>
                <w:sz w:val="20"/>
              </w:rPr>
            </w:pPr>
            <w:r>
              <w:rPr>
                <w:rFonts w:ascii="arial" w:hAnsi="arial"/>
                <w:sz w:val="20"/>
              </w:rPr>
              <w:t xml:space="preserve">The amounts shown reflect the threshold, target and maximum amounts that each NEO was eligible to receive for 2024 based on achievement of the Adjusted EBITDA performance target established by the CHC Committee. Actual payouts are reported in the </w:t>
            </w:r>
            <w:r>
              <w:rPr>
                <w:rFonts w:ascii="arial" w:hAnsi="arial"/>
                <w:i/>
                <w:sz w:val="20"/>
              </w:rPr>
              <w:t>Summary Compensation Table</w:t>
            </w:r>
            <w:r>
              <w:rPr>
                <w:rFonts w:ascii="arial" w:hAnsi="arial"/>
                <w:sz w:val="20"/>
              </w:rPr>
              <w:t xml:space="preserve"> under the “Non-Equity Incentive Plan Compensation” column. The material terms of the 2024 non-equity incentive awards are described above under “</w:t>
            </w:r>
            <w:r>
              <w:rPr>
                <w:rFonts w:ascii="arial" w:hAnsi="arial"/>
                <w:i/>
                <w:sz w:val="20"/>
              </w:rPr>
              <w:t>2024 Performance-Based Incentive Cash Award.</w:t>
            </w:r>
            <w:r>
              <w:rPr>
                <w:rFonts w:ascii="arial" w:hAnsi="arial"/>
                <w:sz w:val="20"/>
              </w:rPr>
              <w:t>” A reconciliation of Adjusted EBITDA to the most directly comparable GAAP measure may be found under the heading “</w:t>
            </w:r>
            <w:r>
              <w:rPr>
                <w:rFonts w:ascii="arial" w:hAnsi="arial"/>
                <w:i/>
                <w:sz w:val="20"/>
              </w:rPr>
              <w:t>Additional Information – Use of Non-GAAP Financial Measures</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(2)</w:t>
            </w:r>
          </w:p>
        </w:tc>
        <w:tc>
          <w:tcPr>
            <w:tcW w:w="9905" w:type="dxa"/>
            <w:tcBorders/>
            <w:vAlign w:val="center"/>
          </w:tcPr>
          <w:p>
            <w:pPr>
              <w:pStyle w:val="TableContents"/>
              <w:bidi w:val="0"/>
              <w:spacing w:before="0" w:after="0"/>
              <w:jc w:val="left"/>
              <w:rPr>
                <w:rFonts w:ascii="arial" w:hAnsi="arial"/>
                <w:sz w:val="20"/>
              </w:rPr>
            </w:pPr>
            <w:r>
              <w:rPr>
                <w:rFonts w:ascii="arial" w:hAnsi="arial"/>
                <w:sz w:val="20"/>
              </w:rPr>
              <w:t>The amounts shown reflect the threshold, target and maximum amounts that each NEO was eligible to receive for 2024 performance based on achievement of the Adjusted EBITDA performance target established by the CHC Committee. Actual payouts are reported in “</w:t>
            </w:r>
            <w:r>
              <w:rPr>
                <w:rFonts w:ascii="arial" w:hAnsi="arial"/>
                <w:i/>
                <w:sz w:val="20"/>
              </w:rPr>
              <w:t>Section</w:t>
            </w:r>
            <w:r>
              <w:rPr>
                <w:rFonts w:ascii="arial" w:hAnsi="arial"/>
                <w:sz w:val="20"/>
              </w:rPr>
              <w:t> </w:t>
            </w:r>
            <w:r>
              <w:rPr>
                <w:rFonts w:ascii="arial" w:hAnsi="arial"/>
                <w:i/>
                <w:sz w:val="20"/>
              </w:rPr>
              <w:t xml:space="preserve">4 – What We Paid in 2024 – 2024 Performance-Based Incentive Equity Awards” </w:t>
            </w:r>
            <w:r>
              <w:rPr>
                <w:rFonts w:ascii="arial" w:hAnsi="arial"/>
                <w:sz w:val="20"/>
              </w:rPr>
              <w:t>in this proxy statement. The material terms of the 2024 equity incentive awards are described above under “</w:t>
            </w:r>
            <w:r>
              <w:rPr>
                <w:rFonts w:ascii="arial" w:hAnsi="arial"/>
                <w:i/>
                <w:sz w:val="20"/>
              </w:rPr>
              <w:t>2024 Performance-Based Incentive Equity Awards.</w:t>
            </w:r>
            <w:r>
              <w:rPr>
                <w:rFonts w:ascii="arial" w:hAnsi="arial"/>
                <w:sz w:val="20"/>
              </w:rPr>
              <w:t>” A reconciliation of Adjusted EBITDA to the most directly comparable GAAP measure may be found under the heading “</w:t>
            </w:r>
            <w:r>
              <w:rPr>
                <w:rFonts w:ascii="arial" w:hAnsi="arial"/>
                <w:i/>
                <w:sz w:val="20"/>
              </w:rPr>
              <w:t>Additional Information – Use of Non-GAAP Financial Measures</w:t>
            </w:r>
            <w:r>
              <w:rPr>
                <w:rFonts w:ascii="arial" w:hAnsi="arial"/>
                <w:sz w:val="20"/>
              </w:rPr>
              <w:t xml:space="preserve">.”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Executive Compensation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(3)</w:t>
            </w:r>
          </w:p>
        </w:tc>
        <w:tc>
          <w:tcPr>
            <w:tcW w:w="9899" w:type="dxa"/>
            <w:tcBorders/>
            <w:vAlign w:val="center"/>
          </w:tcPr>
          <w:p>
            <w:pPr>
              <w:pStyle w:val="TableContents"/>
              <w:bidi w:val="0"/>
              <w:spacing w:before="0" w:after="0"/>
              <w:jc w:val="left"/>
              <w:rPr>
                <w:rFonts w:ascii="arial" w:hAnsi="arial"/>
                <w:sz w:val="20"/>
              </w:rPr>
            </w:pPr>
            <w:r>
              <w:rPr>
                <w:rFonts w:ascii="arial" w:hAnsi="arial"/>
                <w:sz w:val="20"/>
              </w:rPr>
              <w:t xml:space="preserve">Amounts in this column for 2024 represent the aggregate grant date fair value of performance-based restricted stock awards, computed in accordance with FASB ASC Topic 718. The grant date fair value was determined by multiplying the closing price of the Company’s common stock on February 20, 2024 ($205.96) by the number of shares that would be earned based on the probable outcome of the performance conditions (i.e., target). </w:t>
            </w:r>
          </w:p>
        </w:tc>
      </w:tr>
    </w:tbl>
    <w:p>
      <w:pPr>
        <w:pStyle w:val="TextBody"/>
        <w:bidi w:val="0"/>
        <w:spacing w:before="360" w:after="0"/>
        <w:jc w:val="left"/>
        <w:rPr>
          <w:rFonts w:ascii="arial" w:hAnsi="arial"/>
          <w:b/>
          <w:color w:val="1F295C"/>
          <w:sz w:val="24"/>
        </w:rPr>
      </w:pPr>
      <w:bookmarkStart w:id="96" w:name="toc849638_65"/>
      <w:bookmarkEnd w:id="96"/>
      <w:r>
        <w:rPr>
          <w:rFonts w:ascii="arial" w:hAnsi="arial"/>
          <w:b/>
          <w:color w:val="1F295C"/>
          <w:sz w:val="24"/>
        </w:rPr>
        <w:t xml:space="preserve">Outstanding Equity Awards Table </w:t>
      </w:r>
    </w:p>
    <w:p>
      <w:pPr>
        <w:pStyle w:val="TextBody"/>
        <w:bidi w:val="0"/>
        <w:spacing w:before="240" w:after="0"/>
        <w:jc w:val="left"/>
        <w:rPr>
          <w:rFonts w:ascii="arial" w:hAnsi="arial"/>
          <w:sz w:val="20"/>
        </w:rPr>
      </w:pPr>
      <w:r>
        <w:rPr>
          <w:rFonts w:ascii="arial" w:hAnsi="arial"/>
          <w:sz w:val="20"/>
        </w:rPr>
        <w:t xml:space="preserve">The following table contains information regarding outstanding equity awards held by each of our NEOs as of December 31, 2024. </w:t>
      </w:r>
    </w:p>
    <w:p>
      <w:pPr>
        <w:pStyle w:val="TextBody"/>
        <w:bidi w:val="0"/>
        <w:spacing w:before="0" w:after="0"/>
        <w:jc w:val="left"/>
        <w:rPr/>
      </w:pPr>
      <w:r>
        <w:rPr/>
        <w:t> </w:t>
      </w:r>
    </w:p>
    <w:tbl>
      <w:tblPr>
        <w:tblW w:w="9243" w:type="dxa"/>
        <w:jc w:val="left"/>
        <w:tblInd w:w="0" w:type="dxa"/>
        <w:tblLayout w:type="fixed"/>
        <w:tblCellMar>
          <w:top w:w="0" w:type="dxa"/>
          <w:left w:w="0" w:type="dxa"/>
          <w:bottom w:w="0" w:type="dxa"/>
          <w:right w:w="0" w:type="dxa"/>
        </w:tblCellMar>
      </w:tblPr>
      <w:tblGrid>
        <w:gridCol w:w="1895"/>
        <w:gridCol w:w="23"/>
        <w:gridCol w:w="23"/>
        <w:gridCol w:w="60"/>
        <w:gridCol w:w="215"/>
        <w:gridCol w:w="95"/>
        <w:gridCol w:w="23"/>
        <w:gridCol w:w="44"/>
        <w:gridCol w:w="116"/>
        <w:gridCol w:w="980"/>
        <w:gridCol w:w="46"/>
        <w:gridCol w:w="23"/>
        <w:gridCol w:w="33"/>
        <w:gridCol w:w="86"/>
        <w:gridCol w:w="977"/>
        <w:gridCol w:w="34"/>
        <w:gridCol w:w="23"/>
        <w:gridCol w:w="23"/>
        <w:gridCol w:w="60"/>
        <w:gridCol w:w="980"/>
        <w:gridCol w:w="23"/>
        <w:gridCol w:w="23"/>
        <w:gridCol w:w="49"/>
        <w:gridCol w:w="129"/>
        <w:gridCol w:w="1470"/>
        <w:gridCol w:w="52"/>
        <w:gridCol w:w="23"/>
        <w:gridCol w:w="35"/>
        <w:gridCol w:w="93"/>
        <w:gridCol w:w="1526"/>
        <w:gridCol w:w="61"/>
      </w:tblGrid>
      <w:tr>
        <w:trPr/>
        <w:tc>
          <w:tcPr>
            <w:tcW w:w="18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93" w:type="dxa"/>
            <w:gridSpan w:val="4"/>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186" w:type="dxa"/>
            <w:gridSpan w:val="4"/>
            <w:tcBorders/>
            <w:vAlign w:val="center"/>
          </w:tcPr>
          <w:p>
            <w:pPr>
              <w:pStyle w:val="TableContents"/>
              <w:bidi w:val="0"/>
              <w:spacing w:before="0" w:after="283"/>
              <w:jc w:val="left"/>
              <w:rPr/>
            </w:pPr>
            <w:r>
              <w:rPr/>
              <w:t> </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700" w:type="dxa"/>
            <w:gridSpan w:val="19"/>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Stock Awards</w:t>
            </w:r>
          </w:p>
        </w:tc>
      </w:tr>
      <w:tr>
        <w:trPr/>
        <w:tc>
          <w:tcPr>
            <w:tcW w:w="1895" w:type="dxa"/>
            <w:tcBorders>
              <w:bottom w:val="single" w:sz="12" w:space="0" w:color="1070B8"/>
            </w:tcBorders>
            <w:tcMar>
              <w:bottom w:w="80" w:type="dxa"/>
            </w:tcMar>
            <w:vAlign w:val="center"/>
          </w:tcPr>
          <w:p>
            <w:pPr>
              <w:pStyle w:val="TableContents"/>
              <w:bidi w:val="0"/>
              <w:spacing w:before="0" w:after="283"/>
              <w:jc w:val="left"/>
              <w:rPr>
                <w:b/>
                <w:color w:val="1F295C"/>
              </w:rPr>
            </w:pPr>
            <w:r>
              <w:rPr>
                <w:b/>
                <w:color w:val="1F295C"/>
              </w:rPr>
              <w:t>Name</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393" w:type="dxa"/>
            <w:gridSpan w:val="4"/>
            <w:tcBorders>
              <w:bottom w:val="single" w:sz="12" w:space="0" w:color="1070B8"/>
            </w:tcBorders>
            <w:tcMar>
              <w:bottom w:w="28" w:type="dxa"/>
            </w:tcMar>
            <w:vAlign w:val="center"/>
          </w:tcPr>
          <w:p>
            <w:pPr>
              <w:pStyle w:val="TableContents"/>
              <w:bidi w:val="0"/>
              <w:spacing w:before="0" w:after="283"/>
              <w:jc w:val="left"/>
              <w:rPr/>
            </w:pPr>
            <w:r>
              <w:rPr/>
              <w:t> </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186"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Grant Date</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130"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Number of</w:t>
              <w:br/>
              <w:t>Shares or</w:t>
              <w:br/>
              <w:t>Units of</w:t>
              <w:br/>
              <w:t>Stock that</w:t>
              <w:br/>
              <w:t>Have Not</w:t>
              <w:br/>
              <w:t>Vested</w:t>
              <w:br/>
              <w:t>(#)</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086"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Market</w:t>
              <w:br/>
              <w:t>Value of</w:t>
              <w:br/>
              <w:t>Shares or</w:t>
              <w:br/>
              <w:t>Units of</w:t>
              <w:br/>
              <w:t>Stock that</w:t>
              <w:br/>
              <w:t>Have Not</w:t>
              <w:br/>
              <w:t>Vested</w:t>
              <w:br/>
              <w:t>($)(1)</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700"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Equity Incentive</w:t>
              <w:br/>
              <w:t>Plan Awards:</w:t>
              <w:br/>
              <w:t>Number of</w:t>
              <w:br/>
              <w:t>Unearned</w:t>
              <w:br/>
              <w:t>Shares or Units</w:t>
              <w:br/>
              <w:t>of Stock that</w:t>
              <w:br/>
              <w:t>Have Not</w:t>
              <w:br/>
              <w:t>Vested</w:t>
              <w:br/>
              <w:t>(#)</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Equity Incentive</w:t>
              <w:br/>
              <w:t>Plan Awards:</w:t>
              <w:br/>
              <w:t>Market or</w:t>
              <w:br/>
              <w:t>Payout Value of</w:t>
              <w:br/>
              <w:t>Unearned</w:t>
              <w:br/>
              <w:t>Shares or Units</w:t>
              <w:br/>
              <w:t>of Stock that</w:t>
              <w:br/>
              <w:t>Have Not</w:t>
              <w:br/>
              <w:t>Vested</w:t>
              <w:br/>
              <w:t>(#)(1)</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416" w:type="dxa"/>
            <w:gridSpan w:val="5"/>
            <w:tcBorders/>
            <w:vAlign w:val="center"/>
          </w:tcPr>
          <w:p>
            <w:pPr>
              <w:pStyle w:val="TableContents"/>
              <w:bidi w:val="0"/>
              <w:spacing w:before="0" w:after="283"/>
              <w:jc w:val="left"/>
              <w:rPr>
                <w:sz w:val="4"/>
                <w:szCs w:val="4"/>
              </w:rPr>
            </w:pPr>
            <w:r>
              <w:rPr>
                <w:sz w:val="4"/>
                <w:szCs w:val="4"/>
              </w:rPr>
            </w:r>
          </w:p>
        </w:tc>
        <w:tc>
          <w:tcPr>
            <w:tcW w:w="1209" w:type="dxa"/>
            <w:gridSpan w:val="5"/>
            <w:tcBorders/>
            <w:vAlign w:val="center"/>
          </w:tcPr>
          <w:p>
            <w:pPr>
              <w:pStyle w:val="TableContents"/>
              <w:bidi w:val="0"/>
              <w:spacing w:before="0" w:after="283"/>
              <w:jc w:val="left"/>
              <w:rPr>
                <w:sz w:val="4"/>
                <w:szCs w:val="4"/>
              </w:rPr>
            </w:pPr>
            <w:r>
              <w:rPr>
                <w:sz w:val="4"/>
                <w:szCs w:val="4"/>
              </w:rPr>
            </w:r>
          </w:p>
        </w:tc>
        <w:tc>
          <w:tcPr>
            <w:tcW w:w="115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0"/>
              <w:jc w:val="left"/>
              <w:rPr/>
            </w:pPr>
            <w:r>
              <w:rPr/>
              <w:t> </w:t>
            </w:r>
            <w:r>
              <w:rPr>
                <w:rFonts w:ascii="arial" w:hAnsi="arial"/>
                <w:sz w:val="20"/>
              </w:rPr>
              <w:t>Jeffrey W. Edwards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(2</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2/22/2022</w:t>
            </w:r>
          </w:p>
        </w:tc>
        <w:tc>
          <w:tcPr>
            <w:tcW w:w="4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16,400</w:t>
            </w:r>
          </w:p>
        </w:tc>
        <w:tc>
          <w:tcPr>
            <w:tcW w:w="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2,874,100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416" w:type="dxa"/>
            <w:gridSpan w:val="5"/>
            <w:tcBorders/>
            <w:vAlign w:val="center"/>
          </w:tcPr>
          <w:p>
            <w:pPr>
              <w:pStyle w:val="TableContents"/>
              <w:bidi w:val="0"/>
              <w:spacing w:before="0" w:after="283"/>
              <w:jc w:val="left"/>
              <w:rPr>
                <w:sz w:val="4"/>
                <w:szCs w:val="4"/>
              </w:rPr>
            </w:pPr>
            <w:r>
              <w:rPr>
                <w:sz w:val="4"/>
                <w:szCs w:val="4"/>
              </w:rPr>
            </w:r>
          </w:p>
        </w:tc>
        <w:tc>
          <w:tcPr>
            <w:tcW w:w="1209" w:type="dxa"/>
            <w:gridSpan w:val="5"/>
            <w:tcBorders/>
            <w:vAlign w:val="center"/>
          </w:tcPr>
          <w:p>
            <w:pPr>
              <w:pStyle w:val="TableContents"/>
              <w:bidi w:val="0"/>
              <w:spacing w:before="0" w:after="283"/>
              <w:jc w:val="left"/>
              <w:rPr>
                <w:sz w:val="4"/>
                <w:szCs w:val="4"/>
              </w:rPr>
            </w:pPr>
            <w:r>
              <w:rPr>
                <w:sz w:val="4"/>
                <w:szCs w:val="4"/>
              </w:rPr>
            </w:r>
          </w:p>
        </w:tc>
        <w:tc>
          <w:tcPr>
            <w:tcW w:w="115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(3</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2/20/2023</w:t>
            </w:r>
          </w:p>
        </w:tc>
        <w:tc>
          <w:tcPr>
            <w:tcW w:w="4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34,963</w:t>
            </w:r>
          </w:p>
        </w:tc>
        <w:tc>
          <w:tcPr>
            <w:tcW w:w="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6,127,266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416" w:type="dxa"/>
            <w:gridSpan w:val="5"/>
            <w:tcBorders/>
            <w:vAlign w:val="center"/>
          </w:tcPr>
          <w:p>
            <w:pPr>
              <w:pStyle w:val="TableContents"/>
              <w:bidi w:val="0"/>
              <w:spacing w:before="0" w:after="283"/>
              <w:jc w:val="left"/>
              <w:rPr>
                <w:sz w:val="4"/>
                <w:szCs w:val="4"/>
              </w:rPr>
            </w:pPr>
            <w:r>
              <w:rPr>
                <w:sz w:val="4"/>
                <w:szCs w:val="4"/>
              </w:rPr>
            </w:r>
          </w:p>
        </w:tc>
        <w:tc>
          <w:tcPr>
            <w:tcW w:w="1209" w:type="dxa"/>
            <w:gridSpan w:val="5"/>
            <w:tcBorders/>
            <w:vAlign w:val="center"/>
          </w:tcPr>
          <w:p>
            <w:pPr>
              <w:pStyle w:val="TableContents"/>
              <w:bidi w:val="0"/>
              <w:spacing w:before="0" w:after="283"/>
              <w:jc w:val="left"/>
              <w:rPr>
                <w:sz w:val="4"/>
                <w:szCs w:val="4"/>
              </w:rPr>
            </w:pPr>
            <w:r>
              <w:rPr>
                <w:sz w:val="4"/>
                <w:szCs w:val="4"/>
              </w:rPr>
            </w:r>
          </w:p>
        </w:tc>
        <w:tc>
          <w:tcPr>
            <w:tcW w:w="115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215" w:type="dxa"/>
            <w:tcBorders>
              <w:bottom w:val="single" w:sz="6" w:space="0" w:color="000000"/>
            </w:tcBorders>
            <w:tcMar>
              <w:bottom w:w="80" w:type="dxa"/>
            </w:tcMar>
            <w:vAlign w:val="center"/>
          </w:tcPr>
          <w:p>
            <w:pPr>
              <w:pStyle w:val="TableContents"/>
              <w:bidi w:val="0"/>
              <w:spacing w:before="0" w:after="283"/>
              <w:jc w:val="right"/>
              <w:rPr/>
            </w:pPr>
            <w:r>
              <w:rPr/>
              <w:t>(4</w:t>
            </w:r>
          </w:p>
        </w:tc>
        <w:tc>
          <w:tcPr>
            <w:tcW w:w="95" w:type="dxa"/>
            <w:tcBorders>
              <w:bottom w:val="single" w:sz="6" w:space="0" w:color="000000"/>
            </w:tcBorders>
            <w:tcMar>
              <w:bottom w:w="80" w:type="dxa"/>
            </w:tcMar>
            <w:vAlign w:val="center"/>
          </w:tcPr>
          <w:p>
            <w:pPr>
              <w:pStyle w:val="TableContents"/>
              <w:bidi w:val="0"/>
              <w:spacing w:before="0" w:after="283"/>
              <w:jc w:val="left"/>
              <w:rPr/>
            </w:pPr>
            <w:r>
              <w:rPr/>
              <w:t>)</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000000"/>
            </w:tcBorders>
            <w:tcMar>
              <w:bottom w:w="80" w:type="dxa"/>
            </w:tcMar>
            <w:vAlign w:val="center"/>
          </w:tcPr>
          <w:p>
            <w:pPr>
              <w:pStyle w:val="TableContents"/>
              <w:bidi w:val="0"/>
              <w:spacing w:before="0" w:after="283"/>
              <w:jc w:val="left"/>
              <w:rPr/>
            </w:pPr>
            <w:r>
              <w:rPr/>
              <w:t> </w:t>
            </w:r>
          </w:p>
        </w:tc>
        <w:tc>
          <w:tcPr>
            <w:tcW w:w="980" w:type="dxa"/>
            <w:tcBorders>
              <w:bottom w:val="single" w:sz="6" w:space="0" w:color="000000"/>
            </w:tcBorders>
            <w:tcMar>
              <w:bottom w:w="80" w:type="dxa"/>
            </w:tcMar>
            <w:vAlign w:val="center"/>
          </w:tcPr>
          <w:p>
            <w:pPr>
              <w:pStyle w:val="TableContents"/>
              <w:bidi w:val="0"/>
              <w:spacing w:before="0" w:after="283"/>
              <w:jc w:val="right"/>
              <w:rPr/>
            </w:pPr>
            <w:r>
              <w:rPr/>
              <w:t>2/20/2024</w:t>
            </w:r>
          </w:p>
        </w:tc>
        <w:tc>
          <w:tcPr>
            <w:tcW w:w="46"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9" w:type="dxa"/>
            <w:tcBorders>
              <w:bottom w:val="single" w:sz="6" w:space="0" w:color="000000"/>
            </w:tcBorders>
            <w:tcMar>
              <w:bottom w:w="80" w:type="dxa"/>
            </w:tcMar>
            <w:vAlign w:val="center"/>
          </w:tcPr>
          <w:p>
            <w:pPr>
              <w:pStyle w:val="TableContents"/>
              <w:bidi w:val="0"/>
              <w:spacing w:before="0" w:after="283"/>
              <w:jc w:val="left"/>
              <w:rPr/>
            </w:pPr>
            <w:r>
              <w:rPr/>
              <w:t> </w:t>
            </w:r>
          </w:p>
        </w:tc>
        <w:tc>
          <w:tcPr>
            <w:tcW w:w="1470" w:type="dxa"/>
            <w:tcBorders>
              <w:bottom w:val="single" w:sz="6" w:space="0" w:color="000000"/>
            </w:tcBorders>
            <w:tcMar>
              <w:bottom w:w="80" w:type="dxa"/>
            </w:tcMar>
            <w:vAlign w:val="center"/>
          </w:tcPr>
          <w:p>
            <w:pPr>
              <w:pStyle w:val="TableContents"/>
              <w:bidi w:val="0"/>
              <w:spacing w:before="0" w:after="283"/>
              <w:jc w:val="right"/>
              <w:rPr/>
            </w:pPr>
            <w:r>
              <w:rPr/>
              <w:t>18,636</w:t>
            </w:r>
          </w:p>
        </w:tc>
        <w:tc>
          <w:tcPr>
            <w:tcW w:w="5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80" w:type="dxa"/>
            </w:tcMar>
            <w:vAlign w:val="center"/>
          </w:tcPr>
          <w:p>
            <w:pPr>
              <w:pStyle w:val="TableContents"/>
              <w:bidi w:val="0"/>
              <w:spacing w:before="0" w:after="283"/>
              <w:jc w:val="left"/>
              <w:rPr/>
            </w:pPr>
            <w:r>
              <w:rPr/>
              <w:t> </w:t>
            </w:r>
          </w:p>
        </w:tc>
        <w:tc>
          <w:tcPr>
            <w:tcW w:w="1526" w:type="dxa"/>
            <w:tcBorders>
              <w:bottom w:val="single" w:sz="6" w:space="0" w:color="000000"/>
            </w:tcBorders>
            <w:tcMar>
              <w:bottom w:w="80" w:type="dxa"/>
            </w:tcMar>
            <w:vAlign w:val="center"/>
          </w:tcPr>
          <w:p>
            <w:pPr>
              <w:pStyle w:val="TableContents"/>
              <w:bidi w:val="0"/>
              <w:spacing w:before="0" w:after="283"/>
              <w:jc w:val="right"/>
              <w:rPr/>
            </w:pPr>
            <w:r>
              <w:rPr/>
              <w:t>3,265,959</w:t>
            </w:r>
          </w:p>
        </w:tc>
        <w:tc>
          <w:tcPr>
            <w:tcW w:w="61"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416" w:type="dxa"/>
            <w:gridSpan w:val="5"/>
            <w:tcBorders/>
            <w:vAlign w:val="center"/>
          </w:tcPr>
          <w:p>
            <w:pPr>
              <w:pStyle w:val="TableContents"/>
              <w:bidi w:val="0"/>
              <w:spacing w:before="0" w:after="283"/>
              <w:jc w:val="left"/>
              <w:rPr>
                <w:sz w:val="4"/>
                <w:szCs w:val="4"/>
              </w:rPr>
            </w:pPr>
            <w:r>
              <w:rPr>
                <w:sz w:val="4"/>
                <w:szCs w:val="4"/>
              </w:rPr>
            </w:r>
          </w:p>
        </w:tc>
        <w:tc>
          <w:tcPr>
            <w:tcW w:w="1209" w:type="dxa"/>
            <w:gridSpan w:val="5"/>
            <w:tcBorders/>
            <w:vAlign w:val="center"/>
          </w:tcPr>
          <w:p>
            <w:pPr>
              <w:pStyle w:val="TableContents"/>
              <w:bidi w:val="0"/>
              <w:spacing w:before="0" w:after="283"/>
              <w:jc w:val="left"/>
              <w:rPr>
                <w:sz w:val="4"/>
                <w:szCs w:val="4"/>
              </w:rPr>
            </w:pPr>
            <w:r>
              <w:rPr>
                <w:sz w:val="4"/>
                <w:szCs w:val="4"/>
              </w:rPr>
            </w:r>
          </w:p>
        </w:tc>
        <w:tc>
          <w:tcPr>
            <w:tcW w:w="115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0"/>
              <w:jc w:val="left"/>
              <w:rPr/>
            </w:pPr>
            <w:r>
              <w:rPr/>
              <w:t> </w:t>
            </w:r>
            <w:r>
              <w:rPr>
                <w:rFonts w:ascii="arial" w:hAnsi="arial"/>
                <w:sz w:val="20"/>
              </w:rPr>
              <w:t>Michael T. Miller</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(2</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2/22/2022</w:t>
            </w:r>
          </w:p>
        </w:tc>
        <w:tc>
          <w:tcPr>
            <w:tcW w:w="4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5,275</w:t>
            </w:r>
          </w:p>
        </w:tc>
        <w:tc>
          <w:tcPr>
            <w:tcW w:w="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924,444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416" w:type="dxa"/>
            <w:gridSpan w:val="5"/>
            <w:tcBorders/>
            <w:vAlign w:val="center"/>
          </w:tcPr>
          <w:p>
            <w:pPr>
              <w:pStyle w:val="TableContents"/>
              <w:bidi w:val="0"/>
              <w:spacing w:before="0" w:after="283"/>
              <w:jc w:val="left"/>
              <w:rPr>
                <w:sz w:val="4"/>
                <w:szCs w:val="4"/>
              </w:rPr>
            </w:pPr>
            <w:r>
              <w:rPr>
                <w:sz w:val="4"/>
                <w:szCs w:val="4"/>
              </w:rPr>
            </w:r>
          </w:p>
        </w:tc>
        <w:tc>
          <w:tcPr>
            <w:tcW w:w="1209" w:type="dxa"/>
            <w:gridSpan w:val="5"/>
            <w:tcBorders/>
            <w:vAlign w:val="center"/>
          </w:tcPr>
          <w:p>
            <w:pPr>
              <w:pStyle w:val="TableContents"/>
              <w:bidi w:val="0"/>
              <w:spacing w:before="0" w:after="283"/>
              <w:jc w:val="left"/>
              <w:rPr>
                <w:sz w:val="4"/>
                <w:szCs w:val="4"/>
              </w:rPr>
            </w:pPr>
            <w:r>
              <w:rPr>
                <w:sz w:val="4"/>
                <w:szCs w:val="4"/>
              </w:rPr>
            </w:r>
          </w:p>
        </w:tc>
        <w:tc>
          <w:tcPr>
            <w:tcW w:w="115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(3</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2/20/2023</w:t>
            </w:r>
          </w:p>
        </w:tc>
        <w:tc>
          <w:tcPr>
            <w:tcW w:w="4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11,265</w:t>
            </w:r>
          </w:p>
        </w:tc>
        <w:tc>
          <w:tcPr>
            <w:tcW w:w="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1,974,191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416" w:type="dxa"/>
            <w:gridSpan w:val="5"/>
            <w:tcBorders/>
            <w:vAlign w:val="center"/>
          </w:tcPr>
          <w:p>
            <w:pPr>
              <w:pStyle w:val="TableContents"/>
              <w:bidi w:val="0"/>
              <w:spacing w:before="0" w:after="283"/>
              <w:jc w:val="left"/>
              <w:rPr>
                <w:sz w:val="4"/>
                <w:szCs w:val="4"/>
              </w:rPr>
            </w:pPr>
            <w:r>
              <w:rPr>
                <w:sz w:val="4"/>
                <w:szCs w:val="4"/>
              </w:rPr>
            </w:r>
          </w:p>
        </w:tc>
        <w:tc>
          <w:tcPr>
            <w:tcW w:w="1209" w:type="dxa"/>
            <w:gridSpan w:val="5"/>
            <w:tcBorders/>
            <w:vAlign w:val="center"/>
          </w:tcPr>
          <w:p>
            <w:pPr>
              <w:pStyle w:val="TableContents"/>
              <w:bidi w:val="0"/>
              <w:spacing w:before="0" w:after="283"/>
              <w:jc w:val="left"/>
              <w:rPr>
                <w:sz w:val="4"/>
                <w:szCs w:val="4"/>
              </w:rPr>
            </w:pPr>
            <w:r>
              <w:rPr>
                <w:sz w:val="4"/>
                <w:szCs w:val="4"/>
              </w:rPr>
            </w:r>
          </w:p>
        </w:tc>
        <w:tc>
          <w:tcPr>
            <w:tcW w:w="115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215" w:type="dxa"/>
            <w:tcBorders>
              <w:bottom w:val="single" w:sz="6" w:space="0" w:color="000000"/>
            </w:tcBorders>
            <w:tcMar>
              <w:bottom w:w="80" w:type="dxa"/>
            </w:tcMar>
            <w:vAlign w:val="center"/>
          </w:tcPr>
          <w:p>
            <w:pPr>
              <w:pStyle w:val="TableContents"/>
              <w:bidi w:val="0"/>
              <w:spacing w:before="0" w:after="283"/>
              <w:jc w:val="right"/>
              <w:rPr/>
            </w:pPr>
            <w:r>
              <w:rPr/>
              <w:t>(4</w:t>
            </w:r>
          </w:p>
        </w:tc>
        <w:tc>
          <w:tcPr>
            <w:tcW w:w="95" w:type="dxa"/>
            <w:tcBorders>
              <w:bottom w:val="single" w:sz="6" w:space="0" w:color="000000"/>
            </w:tcBorders>
            <w:tcMar>
              <w:bottom w:w="80" w:type="dxa"/>
            </w:tcMar>
            <w:vAlign w:val="center"/>
          </w:tcPr>
          <w:p>
            <w:pPr>
              <w:pStyle w:val="TableContents"/>
              <w:bidi w:val="0"/>
              <w:spacing w:before="0" w:after="283"/>
              <w:jc w:val="left"/>
              <w:rPr/>
            </w:pPr>
            <w:r>
              <w:rPr/>
              <w:t>)</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000000"/>
            </w:tcBorders>
            <w:tcMar>
              <w:bottom w:w="80" w:type="dxa"/>
            </w:tcMar>
            <w:vAlign w:val="center"/>
          </w:tcPr>
          <w:p>
            <w:pPr>
              <w:pStyle w:val="TableContents"/>
              <w:bidi w:val="0"/>
              <w:spacing w:before="0" w:after="283"/>
              <w:jc w:val="left"/>
              <w:rPr/>
            </w:pPr>
            <w:r>
              <w:rPr/>
              <w:t> </w:t>
            </w:r>
          </w:p>
        </w:tc>
        <w:tc>
          <w:tcPr>
            <w:tcW w:w="980" w:type="dxa"/>
            <w:tcBorders>
              <w:bottom w:val="single" w:sz="6" w:space="0" w:color="000000"/>
            </w:tcBorders>
            <w:tcMar>
              <w:bottom w:w="80" w:type="dxa"/>
            </w:tcMar>
            <w:vAlign w:val="center"/>
          </w:tcPr>
          <w:p>
            <w:pPr>
              <w:pStyle w:val="TableContents"/>
              <w:bidi w:val="0"/>
              <w:spacing w:before="0" w:after="283"/>
              <w:jc w:val="right"/>
              <w:rPr/>
            </w:pPr>
            <w:r>
              <w:rPr/>
              <w:t>2/20/2024</w:t>
            </w:r>
          </w:p>
        </w:tc>
        <w:tc>
          <w:tcPr>
            <w:tcW w:w="46"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9" w:type="dxa"/>
            <w:tcBorders>
              <w:bottom w:val="single" w:sz="6" w:space="0" w:color="000000"/>
            </w:tcBorders>
            <w:tcMar>
              <w:bottom w:w="80" w:type="dxa"/>
            </w:tcMar>
            <w:vAlign w:val="center"/>
          </w:tcPr>
          <w:p>
            <w:pPr>
              <w:pStyle w:val="TableContents"/>
              <w:bidi w:val="0"/>
              <w:spacing w:before="0" w:after="283"/>
              <w:jc w:val="left"/>
              <w:rPr/>
            </w:pPr>
            <w:r>
              <w:rPr/>
              <w:t> </w:t>
            </w:r>
          </w:p>
        </w:tc>
        <w:tc>
          <w:tcPr>
            <w:tcW w:w="1470" w:type="dxa"/>
            <w:tcBorders>
              <w:bottom w:val="single" w:sz="6" w:space="0" w:color="000000"/>
            </w:tcBorders>
            <w:tcMar>
              <w:bottom w:w="80" w:type="dxa"/>
            </w:tcMar>
            <w:vAlign w:val="center"/>
          </w:tcPr>
          <w:p>
            <w:pPr>
              <w:pStyle w:val="TableContents"/>
              <w:bidi w:val="0"/>
              <w:spacing w:before="0" w:after="283"/>
              <w:jc w:val="right"/>
              <w:rPr/>
            </w:pPr>
            <w:r>
              <w:rPr/>
              <w:t>5,824</w:t>
            </w:r>
          </w:p>
        </w:tc>
        <w:tc>
          <w:tcPr>
            <w:tcW w:w="5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80" w:type="dxa"/>
            </w:tcMar>
            <w:vAlign w:val="center"/>
          </w:tcPr>
          <w:p>
            <w:pPr>
              <w:pStyle w:val="TableContents"/>
              <w:bidi w:val="0"/>
              <w:spacing w:before="0" w:after="283"/>
              <w:jc w:val="left"/>
              <w:rPr/>
            </w:pPr>
            <w:r>
              <w:rPr/>
              <w:t> </w:t>
            </w:r>
          </w:p>
        </w:tc>
        <w:tc>
          <w:tcPr>
            <w:tcW w:w="1526" w:type="dxa"/>
            <w:tcBorders>
              <w:bottom w:val="single" w:sz="6" w:space="0" w:color="000000"/>
            </w:tcBorders>
            <w:tcMar>
              <w:bottom w:w="80" w:type="dxa"/>
            </w:tcMar>
            <w:vAlign w:val="center"/>
          </w:tcPr>
          <w:p>
            <w:pPr>
              <w:pStyle w:val="TableContents"/>
              <w:bidi w:val="0"/>
              <w:spacing w:before="0" w:after="283"/>
              <w:jc w:val="right"/>
              <w:rPr/>
            </w:pPr>
            <w:r>
              <w:rPr/>
              <w:t>1,020,656</w:t>
            </w:r>
          </w:p>
        </w:tc>
        <w:tc>
          <w:tcPr>
            <w:tcW w:w="61"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416" w:type="dxa"/>
            <w:gridSpan w:val="5"/>
            <w:tcBorders/>
            <w:vAlign w:val="center"/>
          </w:tcPr>
          <w:p>
            <w:pPr>
              <w:pStyle w:val="TableContents"/>
              <w:bidi w:val="0"/>
              <w:spacing w:before="0" w:after="283"/>
              <w:jc w:val="left"/>
              <w:rPr>
                <w:sz w:val="4"/>
                <w:szCs w:val="4"/>
              </w:rPr>
            </w:pPr>
            <w:r>
              <w:rPr>
                <w:sz w:val="4"/>
                <w:szCs w:val="4"/>
              </w:rPr>
            </w:r>
          </w:p>
        </w:tc>
        <w:tc>
          <w:tcPr>
            <w:tcW w:w="1209" w:type="dxa"/>
            <w:gridSpan w:val="5"/>
            <w:tcBorders/>
            <w:vAlign w:val="center"/>
          </w:tcPr>
          <w:p>
            <w:pPr>
              <w:pStyle w:val="TableContents"/>
              <w:bidi w:val="0"/>
              <w:spacing w:before="0" w:after="283"/>
              <w:jc w:val="left"/>
              <w:rPr>
                <w:sz w:val="4"/>
                <w:szCs w:val="4"/>
              </w:rPr>
            </w:pPr>
            <w:r>
              <w:rPr>
                <w:sz w:val="4"/>
                <w:szCs w:val="4"/>
              </w:rPr>
            </w:r>
          </w:p>
        </w:tc>
        <w:tc>
          <w:tcPr>
            <w:tcW w:w="115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0"/>
              <w:jc w:val="left"/>
              <w:rPr/>
            </w:pPr>
            <w:r>
              <w:rPr/>
              <w:t> </w:t>
            </w:r>
            <w:r>
              <w:rPr>
                <w:rFonts w:ascii="arial" w:hAnsi="arial"/>
                <w:sz w:val="20"/>
              </w:rPr>
              <w:t>Brad A. Wheeler</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(4</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2/20/2024</w:t>
            </w:r>
          </w:p>
        </w:tc>
        <w:tc>
          <w:tcPr>
            <w:tcW w:w="4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4,659</w:t>
            </w:r>
          </w:p>
        </w:tc>
        <w:tc>
          <w:tcPr>
            <w:tcW w:w="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526" w:type="dxa"/>
            <w:tcBorders/>
            <w:vAlign w:val="center"/>
          </w:tcPr>
          <w:p>
            <w:pPr>
              <w:pStyle w:val="TableContents"/>
              <w:bidi w:val="0"/>
              <w:spacing w:before="0" w:after="283"/>
              <w:jc w:val="right"/>
              <w:rPr/>
            </w:pPr>
            <w:r>
              <w:rPr/>
              <w:t>816,490</w:t>
            </w:r>
          </w:p>
        </w:tc>
        <w:tc>
          <w:tcPr>
            <w:tcW w:w="61"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416" w:type="dxa"/>
            <w:gridSpan w:val="5"/>
            <w:tcBorders/>
            <w:vAlign w:val="center"/>
          </w:tcPr>
          <w:p>
            <w:pPr>
              <w:pStyle w:val="TableContents"/>
              <w:bidi w:val="0"/>
              <w:spacing w:before="0" w:after="283"/>
              <w:jc w:val="left"/>
              <w:rPr>
                <w:sz w:val="4"/>
                <w:szCs w:val="4"/>
              </w:rPr>
            </w:pPr>
            <w:r>
              <w:rPr>
                <w:sz w:val="4"/>
                <w:szCs w:val="4"/>
              </w:rPr>
            </w:r>
          </w:p>
        </w:tc>
        <w:tc>
          <w:tcPr>
            <w:tcW w:w="1209" w:type="dxa"/>
            <w:gridSpan w:val="5"/>
            <w:tcBorders/>
            <w:vAlign w:val="center"/>
          </w:tcPr>
          <w:p>
            <w:pPr>
              <w:pStyle w:val="TableContents"/>
              <w:bidi w:val="0"/>
              <w:spacing w:before="0" w:after="283"/>
              <w:jc w:val="left"/>
              <w:rPr>
                <w:sz w:val="4"/>
                <w:szCs w:val="4"/>
              </w:rPr>
            </w:pPr>
            <w:r>
              <w:rPr>
                <w:sz w:val="4"/>
                <w:szCs w:val="4"/>
              </w:rPr>
            </w:r>
          </w:p>
        </w:tc>
        <w:tc>
          <w:tcPr>
            <w:tcW w:w="115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tcMar>
              <w:bottom w:w="80" w:type="dxa"/>
            </w:tcMar>
            <w:vAlign w:val="center"/>
          </w:tcPr>
          <w:p>
            <w:pPr>
              <w:pStyle w:val="TableContents"/>
              <w:bidi w:val="0"/>
              <w:spacing w:before="0" w:after="0"/>
              <w:jc w:val="left"/>
              <w:rPr/>
            </w:pPr>
            <w:r>
              <w:rPr/>
              <w:t>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416" w:type="dxa"/>
            <w:gridSpan w:val="5"/>
            <w:tcBorders/>
            <w:vAlign w:val="center"/>
          </w:tcPr>
          <w:p>
            <w:pPr>
              <w:pStyle w:val="TableContents"/>
              <w:bidi w:val="0"/>
              <w:spacing w:before="0" w:after="283"/>
              <w:jc w:val="left"/>
              <w:rPr>
                <w:sz w:val="4"/>
                <w:szCs w:val="4"/>
              </w:rPr>
            </w:pPr>
            <w:r>
              <w:rPr>
                <w:sz w:val="4"/>
                <w:szCs w:val="4"/>
              </w:rPr>
            </w:r>
          </w:p>
        </w:tc>
        <w:tc>
          <w:tcPr>
            <w:tcW w:w="1209" w:type="dxa"/>
            <w:gridSpan w:val="5"/>
            <w:tcBorders/>
            <w:vAlign w:val="center"/>
          </w:tcPr>
          <w:p>
            <w:pPr>
              <w:pStyle w:val="TableContents"/>
              <w:bidi w:val="0"/>
              <w:spacing w:before="0" w:after="283"/>
              <w:jc w:val="left"/>
              <w:rPr>
                <w:sz w:val="4"/>
                <w:szCs w:val="4"/>
              </w:rPr>
            </w:pPr>
            <w:r>
              <w:rPr>
                <w:sz w:val="4"/>
                <w:szCs w:val="4"/>
              </w:rPr>
            </w:r>
          </w:p>
        </w:tc>
        <w:tc>
          <w:tcPr>
            <w:tcW w:w="115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0"/>
              <w:jc w:val="left"/>
              <w:rPr/>
            </w:pPr>
            <w:r>
              <w:rPr/>
              <w:t> </w:t>
            </w:r>
            <w:r>
              <w:rPr>
                <w:rFonts w:ascii="arial" w:hAnsi="arial"/>
                <w:sz w:val="20"/>
              </w:rPr>
              <w:t>W. Jeffrey Hire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(2</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2/22/2022</w:t>
            </w:r>
          </w:p>
        </w:tc>
        <w:tc>
          <w:tcPr>
            <w:tcW w:w="4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1,093</w:t>
            </w:r>
          </w:p>
        </w:tc>
        <w:tc>
          <w:tcPr>
            <w:tcW w:w="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191,548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416" w:type="dxa"/>
            <w:gridSpan w:val="5"/>
            <w:tcBorders/>
            <w:vAlign w:val="center"/>
          </w:tcPr>
          <w:p>
            <w:pPr>
              <w:pStyle w:val="TableContents"/>
              <w:bidi w:val="0"/>
              <w:spacing w:before="0" w:after="283"/>
              <w:jc w:val="left"/>
              <w:rPr>
                <w:sz w:val="4"/>
                <w:szCs w:val="4"/>
              </w:rPr>
            </w:pPr>
            <w:r>
              <w:rPr>
                <w:sz w:val="4"/>
                <w:szCs w:val="4"/>
              </w:rPr>
            </w:r>
          </w:p>
        </w:tc>
        <w:tc>
          <w:tcPr>
            <w:tcW w:w="1209" w:type="dxa"/>
            <w:gridSpan w:val="5"/>
            <w:tcBorders/>
            <w:vAlign w:val="center"/>
          </w:tcPr>
          <w:p>
            <w:pPr>
              <w:pStyle w:val="TableContents"/>
              <w:bidi w:val="0"/>
              <w:spacing w:before="0" w:after="283"/>
              <w:jc w:val="left"/>
              <w:rPr>
                <w:sz w:val="4"/>
                <w:szCs w:val="4"/>
              </w:rPr>
            </w:pPr>
            <w:r>
              <w:rPr>
                <w:sz w:val="4"/>
                <w:szCs w:val="4"/>
              </w:rPr>
            </w:r>
          </w:p>
        </w:tc>
        <w:tc>
          <w:tcPr>
            <w:tcW w:w="115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(3</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2/20/2023</w:t>
            </w:r>
          </w:p>
        </w:tc>
        <w:tc>
          <w:tcPr>
            <w:tcW w:w="4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2,427</w:t>
            </w:r>
          </w:p>
        </w:tc>
        <w:tc>
          <w:tcPr>
            <w:tcW w:w="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425,332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416" w:type="dxa"/>
            <w:gridSpan w:val="5"/>
            <w:tcBorders/>
            <w:vAlign w:val="center"/>
          </w:tcPr>
          <w:p>
            <w:pPr>
              <w:pStyle w:val="TableContents"/>
              <w:bidi w:val="0"/>
              <w:spacing w:before="0" w:after="283"/>
              <w:jc w:val="left"/>
              <w:rPr>
                <w:sz w:val="4"/>
                <w:szCs w:val="4"/>
              </w:rPr>
            </w:pPr>
            <w:r>
              <w:rPr>
                <w:sz w:val="4"/>
                <w:szCs w:val="4"/>
              </w:rPr>
            </w:r>
          </w:p>
        </w:tc>
        <w:tc>
          <w:tcPr>
            <w:tcW w:w="1209" w:type="dxa"/>
            <w:gridSpan w:val="5"/>
            <w:tcBorders/>
            <w:vAlign w:val="center"/>
          </w:tcPr>
          <w:p>
            <w:pPr>
              <w:pStyle w:val="TableContents"/>
              <w:bidi w:val="0"/>
              <w:spacing w:before="0" w:after="283"/>
              <w:jc w:val="left"/>
              <w:rPr>
                <w:sz w:val="4"/>
                <w:szCs w:val="4"/>
              </w:rPr>
            </w:pPr>
            <w:r>
              <w:rPr>
                <w:sz w:val="4"/>
                <w:szCs w:val="4"/>
              </w:rPr>
            </w:r>
          </w:p>
        </w:tc>
        <w:tc>
          <w:tcPr>
            <w:tcW w:w="115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(5</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4/13/2023</w:t>
            </w:r>
          </w:p>
        </w:tc>
        <w:tc>
          <w:tcPr>
            <w:tcW w:w="4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5,375</w:t>
            </w:r>
          </w:p>
        </w:tc>
        <w:tc>
          <w:tcPr>
            <w:tcW w:w="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941,969</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416" w:type="dxa"/>
            <w:gridSpan w:val="5"/>
            <w:tcBorders/>
            <w:vAlign w:val="center"/>
          </w:tcPr>
          <w:p>
            <w:pPr>
              <w:pStyle w:val="TableContents"/>
              <w:bidi w:val="0"/>
              <w:spacing w:before="0" w:after="283"/>
              <w:jc w:val="left"/>
              <w:rPr>
                <w:sz w:val="4"/>
                <w:szCs w:val="4"/>
              </w:rPr>
            </w:pPr>
            <w:r>
              <w:rPr>
                <w:sz w:val="4"/>
                <w:szCs w:val="4"/>
              </w:rPr>
            </w:r>
          </w:p>
        </w:tc>
        <w:tc>
          <w:tcPr>
            <w:tcW w:w="1209" w:type="dxa"/>
            <w:gridSpan w:val="5"/>
            <w:tcBorders/>
            <w:vAlign w:val="center"/>
          </w:tcPr>
          <w:p>
            <w:pPr>
              <w:pStyle w:val="TableContents"/>
              <w:bidi w:val="0"/>
              <w:spacing w:before="0" w:after="283"/>
              <w:jc w:val="left"/>
              <w:rPr>
                <w:sz w:val="4"/>
                <w:szCs w:val="4"/>
              </w:rPr>
            </w:pPr>
            <w:r>
              <w:rPr>
                <w:sz w:val="4"/>
                <w:szCs w:val="4"/>
              </w:rPr>
            </w:r>
          </w:p>
        </w:tc>
        <w:tc>
          <w:tcPr>
            <w:tcW w:w="115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215" w:type="dxa"/>
            <w:tcBorders>
              <w:bottom w:val="single" w:sz="6" w:space="0" w:color="000000"/>
            </w:tcBorders>
            <w:tcMar>
              <w:bottom w:w="80" w:type="dxa"/>
            </w:tcMar>
            <w:vAlign w:val="center"/>
          </w:tcPr>
          <w:p>
            <w:pPr>
              <w:pStyle w:val="TableContents"/>
              <w:bidi w:val="0"/>
              <w:spacing w:before="0" w:after="283"/>
              <w:jc w:val="right"/>
              <w:rPr/>
            </w:pPr>
            <w:r>
              <w:rPr/>
              <w:t>(4</w:t>
            </w:r>
          </w:p>
        </w:tc>
        <w:tc>
          <w:tcPr>
            <w:tcW w:w="95" w:type="dxa"/>
            <w:tcBorders>
              <w:bottom w:val="single" w:sz="6" w:space="0" w:color="000000"/>
            </w:tcBorders>
            <w:tcMar>
              <w:bottom w:w="80" w:type="dxa"/>
            </w:tcMar>
            <w:vAlign w:val="center"/>
          </w:tcPr>
          <w:p>
            <w:pPr>
              <w:pStyle w:val="TableContents"/>
              <w:bidi w:val="0"/>
              <w:spacing w:before="0" w:after="283"/>
              <w:jc w:val="left"/>
              <w:rPr/>
            </w:pPr>
            <w:r>
              <w:rPr/>
              <w:t>)</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000000"/>
            </w:tcBorders>
            <w:tcMar>
              <w:bottom w:w="80" w:type="dxa"/>
            </w:tcMar>
            <w:vAlign w:val="center"/>
          </w:tcPr>
          <w:p>
            <w:pPr>
              <w:pStyle w:val="TableContents"/>
              <w:bidi w:val="0"/>
              <w:spacing w:before="0" w:after="283"/>
              <w:jc w:val="left"/>
              <w:rPr/>
            </w:pPr>
            <w:r>
              <w:rPr/>
              <w:t> </w:t>
            </w:r>
          </w:p>
        </w:tc>
        <w:tc>
          <w:tcPr>
            <w:tcW w:w="980" w:type="dxa"/>
            <w:tcBorders>
              <w:bottom w:val="single" w:sz="6" w:space="0" w:color="000000"/>
            </w:tcBorders>
            <w:tcMar>
              <w:bottom w:w="80" w:type="dxa"/>
            </w:tcMar>
            <w:vAlign w:val="center"/>
          </w:tcPr>
          <w:p>
            <w:pPr>
              <w:pStyle w:val="TableContents"/>
              <w:bidi w:val="0"/>
              <w:spacing w:before="0" w:after="283"/>
              <w:jc w:val="right"/>
              <w:rPr/>
            </w:pPr>
            <w:r>
              <w:rPr/>
              <w:t>2/20/2024</w:t>
            </w:r>
          </w:p>
        </w:tc>
        <w:tc>
          <w:tcPr>
            <w:tcW w:w="46"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9" w:type="dxa"/>
            <w:tcBorders>
              <w:bottom w:val="single" w:sz="6" w:space="0" w:color="000000"/>
            </w:tcBorders>
            <w:tcMar>
              <w:bottom w:w="80" w:type="dxa"/>
            </w:tcMar>
            <w:vAlign w:val="center"/>
          </w:tcPr>
          <w:p>
            <w:pPr>
              <w:pStyle w:val="TableContents"/>
              <w:bidi w:val="0"/>
              <w:spacing w:before="0" w:after="283"/>
              <w:jc w:val="left"/>
              <w:rPr/>
            </w:pPr>
            <w:r>
              <w:rPr/>
              <w:t> </w:t>
            </w:r>
          </w:p>
        </w:tc>
        <w:tc>
          <w:tcPr>
            <w:tcW w:w="1470" w:type="dxa"/>
            <w:tcBorders>
              <w:bottom w:val="single" w:sz="6" w:space="0" w:color="000000"/>
            </w:tcBorders>
            <w:tcMar>
              <w:bottom w:w="80" w:type="dxa"/>
            </w:tcMar>
            <w:vAlign w:val="center"/>
          </w:tcPr>
          <w:p>
            <w:pPr>
              <w:pStyle w:val="TableContents"/>
              <w:bidi w:val="0"/>
              <w:spacing w:before="0" w:after="283"/>
              <w:jc w:val="right"/>
              <w:rPr/>
            </w:pPr>
            <w:r>
              <w:rPr/>
              <w:t>1,281</w:t>
            </w:r>
          </w:p>
        </w:tc>
        <w:tc>
          <w:tcPr>
            <w:tcW w:w="5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000000"/>
            </w:tcBorders>
            <w:tcMar>
              <w:bottom w:w="80" w:type="dxa"/>
            </w:tcMar>
            <w:vAlign w:val="center"/>
          </w:tcPr>
          <w:p>
            <w:pPr>
              <w:pStyle w:val="TableContents"/>
              <w:bidi w:val="0"/>
              <w:spacing w:before="0" w:after="283"/>
              <w:jc w:val="left"/>
              <w:rPr/>
            </w:pPr>
            <w:r>
              <w:rPr/>
              <w:t> </w:t>
            </w:r>
          </w:p>
        </w:tc>
        <w:tc>
          <w:tcPr>
            <w:tcW w:w="1526" w:type="dxa"/>
            <w:tcBorders>
              <w:bottom w:val="single" w:sz="6" w:space="0" w:color="000000"/>
            </w:tcBorders>
            <w:tcMar>
              <w:bottom w:w="80" w:type="dxa"/>
            </w:tcMar>
            <w:vAlign w:val="center"/>
          </w:tcPr>
          <w:p>
            <w:pPr>
              <w:pStyle w:val="TableContents"/>
              <w:bidi w:val="0"/>
              <w:spacing w:before="0" w:after="283"/>
              <w:jc w:val="right"/>
              <w:rPr/>
            </w:pPr>
            <w:r>
              <w:rPr/>
              <w:t>224,495</w:t>
            </w:r>
          </w:p>
        </w:tc>
        <w:tc>
          <w:tcPr>
            <w:tcW w:w="61"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416" w:type="dxa"/>
            <w:gridSpan w:val="5"/>
            <w:tcBorders/>
            <w:vAlign w:val="center"/>
          </w:tcPr>
          <w:p>
            <w:pPr>
              <w:pStyle w:val="TableContents"/>
              <w:bidi w:val="0"/>
              <w:spacing w:before="0" w:after="283"/>
              <w:jc w:val="left"/>
              <w:rPr>
                <w:sz w:val="4"/>
                <w:szCs w:val="4"/>
              </w:rPr>
            </w:pPr>
            <w:r>
              <w:rPr>
                <w:sz w:val="4"/>
                <w:szCs w:val="4"/>
              </w:rPr>
            </w:r>
          </w:p>
        </w:tc>
        <w:tc>
          <w:tcPr>
            <w:tcW w:w="1209" w:type="dxa"/>
            <w:gridSpan w:val="5"/>
            <w:tcBorders/>
            <w:vAlign w:val="center"/>
          </w:tcPr>
          <w:p>
            <w:pPr>
              <w:pStyle w:val="TableContents"/>
              <w:bidi w:val="0"/>
              <w:spacing w:before="0" w:after="283"/>
              <w:jc w:val="left"/>
              <w:rPr>
                <w:sz w:val="4"/>
                <w:szCs w:val="4"/>
              </w:rPr>
            </w:pPr>
            <w:r>
              <w:rPr>
                <w:sz w:val="4"/>
                <w:szCs w:val="4"/>
              </w:rPr>
            </w:r>
          </w:p>
        </w:tc>
        <w:tc>
          <w:tcPr>
            <w:tcW w:w="115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0"/>
              <w:jc w:val="left"/>
              <w:rPr/>
            </w:pPr>
            <w:r>
              <w:rPr/>
              <w:t> </w:t>
            </w:r>
            <w:r>
              <w:rPr>
                <w:rFonts w:ascii="arial" w:hAnsi="arial"/>
                <w:sz w:val="20"/>
              </w:rPr>
              <w:t>Jason R. Niswonger</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(2</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2/22/2022</w:t>
            </w:r>
          </w:p>
        </w:tc>
        <w:tc>
          <w:tcPr>
            <w:tcW w:w="4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1,530</w:t>
            </w:r>
          </w:p>
        </w:tc>
        <w:tc>
          <w:tcPr>
            <w:tcW w:w="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268,133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416" w:type="dxa"/>
            <w:gridSpan w:val="5"/>
            <w:tcBorders/>
            <w:vAlign w:val="center"/>
          </w:tcPr>
          <w:p>
            <w:pPr>
              <w:pStyle w:val="TableContents"/>
              <w:bidi w:val="0"/>
              <w:spacing w:before="0" w:after="283"/>
              <w:jc w:val="left"/>
              <w:rPr>
                <w:sz w:val="4"/>
                <w:szCs w:val="4"/>
              </w:rPr>
            </w:pPr>
            <w:r>
              <w:rPr>
                <w:sz w:val="4"/>
                <w:szCs w:val="4"/>
              </w:rPr>
            </w:r>
          </w:p>
        </w:tc>
        <w:tc>
          <w:tcPr>
            <w:tcW w:w="1209" w:type="dxa"/>
            <w:gridSpan w:val="5"/>
            <w:tcBorders/>
            <w:vAlign w:val="center"/>
          </w:tcPr>
          <w:p>
            <w:pPr>
              <w:pStyle w:val="TableContents"/>
              <w:bidi w:val="0"/>
              <w:spacing w:before="0" w:after="283"/>
              <w:jc w:val="left"/>
              <w:rPr>
                <w:sz w:val="4"/>
                <w:szCs w:val="4"/>
              </w:rPr>
            </w:pPr>
            <w:r>
              <w:rPr>
                <w:sz w:val="4"/>
                <w:szCs w:val="4"/>
              </w:rPr>
            </w:r>
          </w:p>
        </w:tc>
        <w:tc>
          <w:tcPr>
            <w:tcW w:w="115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(3</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2/20/2023</w:t>
            </w:r>
          </w:p>
        </w:tc>
        <w:tc>
          <w:tcPr>
            <w:tcW w:w="4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3,982</w:t>
            </w:r>
          </w:p>
        </w:tc>
        <w:tc>
          <w:tcPr>
            <w:tcW w:w="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697,846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416" w:type="dxa"/>
            <w:gridSpan w:val="5"/>
            <w:tcBorders/>
            <w:vAlign w:val="center"/>
          </w:tcPr>
          <w:p>
            <w:pPr>
              <w:pStyle w:val="TableContents"/>
              <w:bidi w:val="0"/>
              <w:spacing w:before="0" w:after="283"/>
              <w:jc w:val="left"/>
              <w:rPr>
                <w:sz w:val="4"/>
                <w:szCs w:val="4"/>
              </w:rPr>
            </w:pPr>
            <w:r>
              <w:rPr>
                <w:sz w:val="4"/>
                <w:szCs w:val="4"/>
              </w:rPr>
            </w:r>
          </w:p>
        </w:tc>
        <w:tc>
          <w:tcPr>
            <w:tcW w:w="1209" w:type="dxa"/>
            <w:gridSpan w:val="5"/>
            <w:tcBorders/>
            <w:vAlign w:val="center"/>
          </w:tcPr>
          <w:p>
            <w:pPr>
              <w:pStyle w:val="TableContents"/>
              <w:bidi w:val="0"/>
              <w:spacing w:before="0" w:after="283"/>
              <w:jc w:val="left"/>
              <w:rPr>
                <w:sz w:val="4"/>
                <w:szCs w:val="4"/>
              </w:rPr>
            </w:pPr>
            <w:r>
              <w:rPr>
                <w:sz w:val="4"/>
                <w:szCs w:val="4"/>
              </w:rPr>
            </w:r>
          </w:p>
        </w:tc>
        <w:tc>
          <w:tcPr>
            <w:tcW w:w="1153" w:type="dxa"/>
            <w:gridSpan w:val="5"/>
            <w:tcBorders/>
            <w:vAlign w:val="center"/>
          </w:tcPr>
          <w:p>
            <w:pPr>
              <w:pStyle w:val="TableContents"/>
              <w:bidi w:val="0"/>
              <w:spacing w:before="0" w:after="283"/>
              <w:jc w:val="left"/>
              <w:rPr>
                <w:sz w:val="4"/>
                <w:szCs w:val="4"/>
              </w:rPr>
            </w:pPr>
            <w:r>
              <w:rPr>
                <w:sz w:val="4"/>
                <w:szCs w:val="4"/>
              </w:rPr>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1070B8"/>
            </w:tcBorders>
            <w:tcMar>
              <w:bottom w:w="80" w:type="dxa"/>
            </w:tcMar>
            <w:vAlign w:val="center"/>
          </w:tcPr>
          <w:p>
            <w:pPr>
              <w:pStyle w:val="TableContents"/>
              <w:bidi w:val="0"/>
              <w:spacing w:before="0" w:after="283"/>
              <w:jc w:val="left"/>
              <w:rPr/>
            </w:pPr>
            <w:r>
              <w:rPr/>
              <w:t> </w:t>
            </w:r>
          </w:p>
        </w:tc>
        <w:tc>
          <w:tcPr>
            <w:tcW w:w="215" w:type="dxa"/>
            <w:tcBorders>
              <w:bottom w:val="single" w:sz="12" w:space="0" w:color="1070B8"/>
            </w:tcBorders>
            <w:tcMar>
              <w:bottom w:w="80" w:type="dxa"/>
            </w:tcMar>
            <w:vAlign w:val="center"/>
          </w:tcPr>
          <w:p>
            <w:pPr>
              <w:pStyle w:val="TableContents"/>
              <w:bidi w:val="0"/>
              <w:spacing w:before="0" w:after="283"/>
              <w:jc w:val="right"/>
              <w:rPr/>
            </w:pPr>
            <w:r>
              <w:rPr/>
              <w:t>(4</w:t>
            </w:r>
          </w:p>
        </w:tc>
        <w:tc>
          <w:tcPr>
            <w:tcW w:w="95" w:type="dxa"/>
            <w:tcBorders>
              <w:bottom w:val="single" w:sz="12" w:space="0" w:color="1070B8"/>
            </w:tcBorders>
            <w:tcMar>
              <w:bottom w:w="80" w:type="dxa"/>
            </w:tcMar>
            <w:vAlign w:val="center"/>
          </w:tcPr>
          <w:p>
            <w:pPr>
              <w:pStyle w:val="TableContents"/>
              <w:bidi w:val="0"/>
              <w:spacing w:before="0" w:after="283"/>
              <w:jc w:val="left"/>
              <w:rPr/>
            </w:pPr>
            <w:r>
              <w:rPr/>
              <w:t>)</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12" w:space="0" w:color="1070B8"/>
            </w:tcBorders>
            <w:tcMar>
              <w:bottom w:w="80" w:type="dxa"/>
            </w:tcMar>
            <w:vAlign w:val="center"/>
          </w:tcPr>
          <w:p>
            <w:pPr>
              <w:pStyle w:val="TableContents"/>
              <w:bidi w:val="0"/>
              <w:spacing w:before="0" w:after="283"/>
              <w:jc w:val="left"/>
              <w:rPr/>
            </w:pPr>
            <w:r>
              <w:rPr/>
              <w:t> </w:t>
            </w:r>
          </w:p>
        </w:tc>
        <w:tc>
          <w:tcPr>
            <w:tcW w:w="980" w:type="dxa"/>
            <w:tcBorders>
              <w:bottom w:val="single" w:sz="12" w:space="0" w:color="1070B8"/>
            </w:tcBorders>
            <w:tcMar>
              <w:bottom w:w="80" w:type="dxa"/>
            </w:tcMar>
            <w:vAlign w:val="center"/>
          </w:tcPr>
          <w:p>
            <w:pPr>
              <w:pStyle w:val="TableContents"/>
              <w:bidi w:val="0"/>
              <w:spacing w:before="0" w:after="283"/>
              <w:jc w:val="right"/>
              <w:rPr/>
            </w:pPr>
            <w:r>
              <w:rPr/>
              <w:t>2/20/2024</w:t>
            </w:r>
          </w:p>
        </w:tc>
        <w:tc>
          <w:tcPr>
            <w:tcW w:w="46" w:type="dxa"/>
            <w:tcBorders>
              <w:bottom w:val="single" w:sz="12" w:space="0" w:color="1070B8"/>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977"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29" w:type="dxa"/>
            <w:tcBorders>
              <w:bottom w:val="single" w:sz="12" w:space="0" w:color="1070B8"/>
            </w:tcBorders>
            <w:tcMar>
              <w:bottom w:w="80" w:type="dxa"/>
            </w:tcMar>
            <w:vAlign w:val="center"/>
          </w:tcPr>
          <w:p>
            <w:pPr>
              <w:pStyle w:val="TableContents"/>
              <w:bidi w:val="0"/>
              <w:spacing w:before="0" w:after="283"/>
              <w:jc w:val="left"/>
              <w:rPr/>
            </w:pPr>
            <w:r>
              <w:rPr/>
              <w:t> </w:t>
            </w:r>
          </w:p>
        </w:tc>
        <w:tc>
          <w:tcPr>
            <w:tcW w:w="1470" w:type="dxa"/>
            <w:tcBorders>
              <w:bottom w:val="single" w:sz="12" w:space="0" w:color="1070B8"/>
            </w:tcBorders>
            <w:tcMar>
              <w:bottom w:w="80" w:type="dxa"/>
            </w:tcMar>
            <w:vAlign w:val="center"/>
          </w:tcPr>
          <w:p>
            <w:pPr>
              <w:pStyle w:val="TableContents"/>
              <w:bidi w:val="0"/>
              <w:spacing w:before="0" w:after="283"/>
              <w:jc w:val="right"/>
              <w:rPr/>
            </w:pPr>
            <w:r>
              <w:rPr/>
              <w:t>2,329</w:t>
            </w:r>
          </w:p>
        </w:tc>
        <w:tc>
          <w:tcPr>
            <w:tcW w:w="52" w:type="dxa"/>
            <w:tcBorders>
              <w:bottom w:val="single" w:sz="12" w:space="0" w:color="1070B8"/>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12" w:space="0" w:color="1070B8"/>
            </w:tcBorders>
            <w:tcMar>
              <w:bottom w:w="80" w:type="dxa"/>
            </w:tcMar>
            <w:vAlign w:val="center"/>
          </w:tcPr>
          <w:p>
            <w:pPr>
              <w:pStyle w:val="TableContents"/>
              <w:bidi w:val="0"/>
              <w:spacing w:before="0" w:after="283"/>
              <w:jc w:val="left"/>
              <w:rPr/>
            </w:pPr>
            <w:r>
              <w:rPr/>
              <w:t> </w:t>
            </w:r>
          </w:p>
        </w:tc>
        <w:tc>
          <w:tcPr>
            <w:tcW w:w="1526" w:type="dxa"/>
            <w:tcBorders>
              <w:bottom w:val="single" w:sz="12" w:space="0" w:color="1070B8"/>
            </w:tcBorders>
            <w:tcMar>
              <w:bottom w:w="80" w:type="dxa"/>
            </w:tcMar>
            <w:vAlign w:val="center"/>
          </w:tcPr>
          <w:p>
            <w:pPr>
              <w:pStyle w:val="TableContents"/>
              <w:bidi w:val="0"/>
              <w:spacing w:before="0" w:after="283"/>
              <w:jc w:val="right"/>
              <w:rPr/>
            </w:pPr>
            <w:r>
              <w:rPr/>
              <w:t>408,157</w:t>
            </w:r>
          </w:p>
        </w:tc>
        <w:tc>
          <w:tcPr>
            <w:tcW w:w="61" w:type="dxa"/>
            <w:tcBorders>
              <w:bottom w:val="single" w:sz="12" w:space="0" w:color="1070B8"/>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(1)</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The market value of unvested stock was determined by multiplying the closing price of the Company’s common stock on December 31, 2024 ($175.25) by the number of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(2)</w:t>
            </w:r>
          </w:p>
        </w:tc>
        <w:tc>
          <w:tcPr>
            <w:tcW w:w="9866" w:type="dxa"/>
            <w:tcBorders/>
            <w:vAlign w:val="center"/>
          </w:tcPr>
          <w:p>
            <w:pPr>
              <w:pStyle w:val="TableContents"/>
              <w:bidi w:val="0"/>
              <w:spacing w:before="0" w:after="0"/>
              <w:jc w:val="left"/>
              <w:rPr>
                <w:rFonts w:ascii="arial" w:hAnsi="arial"/>
                <w:sz w:val="20"/>
              </w:rPr>
            </w:pPr>
            <w:r>
              <w:rPr>
                <w:rFonts w:ascii="arial" w:hAnsi="arial"/>
                <w:sz w:val="20"/>
              </w:rPr>
              <w:t xml:space="preserve">Although the performance criteria was satisfied for the 2022 performance period, the shares remain subject to a vesting schedule. The shares vest on April 20,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(3)</w:t>
            </w:r>
          </w:p>
        </w:tc>
        <w:tc>
          <w:tcPr>
            <w:tcW w:w="9883" w:type="dxa"/>
            <w:tcBorders/>
            <w:vAlign w:val="center"/>
          </w:tcPr>
          <w:p>
            <w:pPr>
              <w:pStyle w:val="TableContents"/>
              <w:bidi w:val="0"/>
              <w:spacing w:before="0" w:after="0"/>
              <w:jc w:val="left"/>
              <w:rPr>
                <w:rFonts w:ascii="arial" w:hAnsi="arial"/>
                <w:sz w:val="20"/>
              </w:rPr>
            </w:pPr>
            <w:r>
              <w:rPr>
                <w:rFonts w:ascii="arial" w:hAnsi="arial"/>
                <w:sz w:val="20"/>
              </w:rPr>
              <w:t xml:space="preserve">Although the performance criteria was satisfied for the 2023 performance period, the shares remain subject to a vesting schedule. The shares vest in two equal installments (rounded to the nearest whole share) on April 20, 2025 and April 20,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06"/>
        <w:gridCol w:w="76"/>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(4)</w:t>
            </w:r>
          </w:p>
        </w:tc>
        <w:tc>
          <w:tcPr>
            <w:tcW w:w="9806" w:type="dxa"/>
            <w:tcBorders/>
            <w:vAlign w:val="center"/>
          </w:tcPr>
          <w:p>
            <w:pPr>
              <w:pStyle w:val="TableContents"/>
              <w:bidi w:val="0"/>
              <w:spacing w:before="0" w:after="0"/>
              <w:jc w:val="left"/>
              <w:rPr>
                <w:rFonts w:ascii="arial" w:hAnsi="arial"/>
                <w:sz w:val="20"/>
              </w:rPr>
            </w:pPr>
            <w:r>
              <w:rPr>
                <w:rFonts w:ascii="arial" w:hAnsi="arial"/>
                <w:sz w:val="20"/>
              </w:rPr>
              <w:t xml:space="preserve">Although the performance criteria was satisfied for the 2024 performance period and certified on February 25, 2025, the shares remain subject to a vesting schedule. The shares vest in two equal installments (rounded to the nearest whole </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Executive Compensation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left"/>
              <w:rPr/>
            </w:pPr>
            <w:r>
              <w:rPr/>
              <w:t xml:space="preserve">share) on April 20, 2026 and April 20, 2027. The number of shares shown as subject to these awards represent the number of shares certified as earned upon satisfaction of the performance criteria.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75"/>
        <w:gridCol w:w="290"/>
        <w:gridCol w:w="51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(5)</w:t>
            </w:r>
          </w:p>
        </w:tc>
        <w:tc>
          <w:tcPr>
            <w:tcW w:w="5120" w:type="dxa"/>
            <w:tcBorders/>
            <w:vAlign w:val="center"/>
          </w:tcPr>
          <w:p>
            <w:pPr>
              <w:pStyle w:val="TableContents"/>
              <w:bidi w:val="0"/>
              <w:spacing w:before="0" w:after="0"/>
              <w:jc w:val="left"/>
              <w:rPr>
                <w:rFonts w:ascii="arial" w:hAnsi="arial"/>
                <w:sz w:val="20"/>
              </w:rPr>
            </w:pPr>
            <w:r>
              <w:rPr>
                <w:rFonts w:ascii="arial" w:hAnsi="arial"/>
                <w:sz w:val="20"/>
              </w:rPr>
              <w:t xml:space="preserve">Shares awarded April 13, 2023, which vest April 20, 2026. </w:t>
            </w:r>
          </w:p>
        </w:tc>
      </w:tr>
    </w:tbl>
    <w:p>
      <w:pPr>
        <w:pStyle w:val="TextBody"/>
        <w:bidi w:val="0"/>
        <w:spacing w:before="360" w:after="0"/>
        <w:jc w:val="left"/>
        <w:rPr>
          <w:rFonts w:ascii="arial" w:hAnsi="arial"/>
          <w:b/>
          <w:color w:val="1F295C"/>
          <w:sz w:val="24"/>
        </w:rPr>
      </w:pPr>
      <w:bookmarkStart w:id="97" w:name="toc849638_66"/>
      <w:bookmarkEnd w:id="97"/>
      <w:r>
        <w:rPr>
          <w:rFonts w:ascii="arial" w:hAnsi="arial"/>
          <w:b/>
          <w:color w:val="1F295C"/>
          <w:sz w:val="24"/>
        </w:rPr>
        <w:t xml:space="preserve">Stock Vested as of December 31, 2024 </w:t>
      </w:r>
    </w:p>
    <w:p>
      <w:pPr>
        <w:pStyle w:val="TextBody"/>
        <w:bidi w:val="0"/>
        <w:spacing w:before="240" w:after="0"/>
        <w:jc w:val="left"/>
        <w:rPr>
          <w:rFonts w:ascii="arial" w:hAnsi="arial"/>
          <w:sz w:val="20"/>
        </w:rPr>
      </w:pPr>
      <w:r>
        <w:rPr>
          <w:rFonts w:ascii="arial" w:hAnsi="arial"/>
          <w:sz w:val="20"/>
        </w:rPr>
        <w:t xml:space="preserve">The following table contains information on equity awards held by our NEOs that vested in 2024. </w:t>
      </w:r>
    </w:p>
    <w:p>
      <w:pPr>
        <w:pStyle w:val="TextBody"/>
        <w:bidi w:val="0"/>
        <w:spacing w:before="0" w:after="0"/>
        <w:jc w:val="left"/>
        <w:rPr/>
      </w:pPr>
      <w:r>
        <w:rPr/>
        <w:t> </w:t>
      </w:r>
    </w:p>
    <w:tbl>
      <w:tblPr>
        <w:tblW w:w="5941" w:type="dxa"/>
        <w:jc w:val="left"/>
        <w:tblInd w:w="0" w:type="dxa"/>
        <w:tblLayout w:type="fixed"/>
        <w:tblCellMar>
          <w:top w:w="0" w:type="dxa"/>
          <w:left w:w="0" w:type="dxa"/>
          <w:bottom w:w="0" w:type="dxa"/>
          <w:right w:w="0" w:type="dxa"/>
        </w:tblCellMar>
      </w:tblPr>
      <w:tblGrid>
        <w:gridCol w:w="1895"/>
        <w:gridCol w:w="23"/>
        <w:gridCol w:w="62"/>
        <w:gridCol w:w="161"/>
        <w:gridCol w:w="1834"/>
        <w:gridCol w:w="63"/>
        <w:gridCol w:w="23"/>
        <w:gridCol w:w="39"/>
        <w:gridCol w:w="102"/>
        <w:gridCol w:w="1673"/>
        <w:gridCol w:w="66"/>
      </w:tblGrid>
      <w:tr>
        <w:trPr/>
        <w:tc>
          <w:tcPr>
            <w:tcW w:w="18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 </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4023" w:type="dxa"/>
            <w:gridSpan w:val="9"/>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Stock Awards</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2143" w:type="dxa"/>
            <w:gridSpan w:val="5"/>
            <w:tcBorders/>
            <w:vAlign w:val="center"/>
          </w:tcPr>
          <w:p>
            <w:pPr>
              <w:pStyle w:val="TableContents"/>
              <w:bidi w:val="0"/>
              <w:spacing w:before="0" w:after="283"/>
              <w:jc w:val="left"/>
              <w:rPr>
                <w:sz w:val="4"/>
                <w:szCs w:val="4"/>
              </w:rPr>
            </w:pPr>
            <w:r>
              <w:rPr>
                <w:sz w:val="4"/>
                <w:szCs w:val="4"/>
              </w:rPr>
            </w:r>
          </w:p>
        </w:tc>
        <w:tc>
          <w:tcPr>
            <w:tcW w:w="1903"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tcMar>
              <w:bottom w:w="80" w:type="dxa"/>
            </w:tcMar>
            <w:vAlign w:val="center"/>
          </w:tcPr>
          <w:p>
            <w:pPr>
              <w:pStyle w:val="TableContents"/>
              <w:bidi w:val="0"/>
              <w:spacing w:before="0" w:after="283"/>
              <w:jc w:val="left"/>
              <w:rPr>
                <w:b/>
                <w:color w:val="1F295C"/>
              </w:rPr>
            </w:pPr>
            <w:r>
              <w:rPr>
                <w:b/>
                <w:color w:val="1F295C"/>
              </w:rPr>
              <w:t>Name</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120"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Number of Shares</w:t>
              <w:br/>
              <w:t>Acquired on Vesting</w:t>
              <w:br/>
              <w:t>(#)</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880"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Value Realized on</w:t>
              <w:br/>
              <w:t>Vesting</w:t>
              <w:br/>
              <w:t>($)(1)</w:t>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143" w:type="dxa"/>
            <w:gridSpan w:val="5"/>
            <w:tcBorders/>
            <w:vAlign w:val="center"/>
          </w:tcPr>
          <w:p>
            <w:pPr>
              <w:pStyle w:val="TableContents"/>
              <w:bidi w:val="0"/>
              <w:spacing w:before="0" w:after="283"/>
              <w:jc w:val="left"/>
              <w:rPr>
                <w:sz w:val="4"/>
                <w:szCs w:val="4"/>
              </w:rPr>
            </w:pPr>
            <w:r>
              <w:rPr>
                <w:sz w:val="4"/>
                <w:szCs w:val="4"/>
              </w:rPr>
            </w:r>
          </w:p>
        </w:tc>
        <w:tc>
          <w:tcPr>
            <w:tcW w:w="1903"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Jeffrey W. Edwards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1" w:type="dxa"/>
            <w:tcBorders>
              <w:bottom w:val="single" w:sz="6" w:space="0" w:color="000000"/>
            </w:tcBorders>
            <w:tcMar>
              <w:bottom w:w="80" w:type="dxa"/>
            </w:tcMar>
            <w:vAlign w:val="center"/>
          </w:tcPr>
          <w:p>
            <w:pPr>
              <w:pStyle w:val="TableContents"/>
              <w:bidi w:val="0"/>
              <w:spacing w:before="0" w:after="283"/>
              <w:jc w:val="left"/>
              <w:rPr/>
            </w:pPr>
            <w:r>
              <w:rPr/>
              <w:t> </w:t>
            </w:r>
          </w:p>
        </w:tc>
        <w:tc>
          <w:tcPr>
            <w:tcW w:w="1834" w:type="dxa"/>
            <w:tcBorders>
              <w:bottom w:val="single" w:sz="6" w:space="0" w:color="000000"/>
            </w:tcBorders>
            <w:tcMar>
              <w:bottom w:w="80" w:type="dxa"/>
            </w:tcMar>
            <w:vAlign w:val="center"/>
          </w:tcPr>
          <w:p>
            <w:pPr>
              <w:pStyle w:val="TableContents"/>
              <w:bidi w:val="0"/>
              <w:spacing w:before="0" w:after="283"/>
              <w:jc w:val="right"/>
              <w:rPr/>
            </w:pPr>
            <w:r>
              <w:rPr/>
              <w:t>27,361</w:t>
            </w:r>
          </w:p>
        </w:tc>
        <w:tc>
          <w:tcPr>
            <w:tcW w:w="6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000000"/>
            </w:tcBorders>
            <w:tcMar>
              <w:bottom w:w="80" w:type="dxa"/>
            </w:tcMar>
            <w:vAlign w:val="center"/>
          </w:tcPr>
          <w:p>
            <w:pPr>
              <w:pStyle w:val="TableContents"/>
              <w:bidi w:val="0"/>
              <w:spacing w:before="0" w:after="283"/>
              <w:jc w:val="left"/>
              <w:rPr/>
            </w:pPr>
            <w:r>
              <w:rPr/>
              <w:t> </w:t>
            </w:r>
          </w:p>
        </w:tc>
        <w:tc>
          <w:tcPr>
            <w:tcW w:w="1673" w:type="dxa"/>
            <w:tcBorders>
              <w:bottom w:val="single" w:sz="6" w:space="0" w:color="000000"/>
            </w:tcBorders>
            <w:tcMar>
              <w:bottom w:w="80" w:type="dxa"/>
            </w:tcMar>
            <w:vAlign w:val="center"/>
          </w:tcPr>
          <w:p>
            <w:pPr>
              <w:pStyle w:val="TableContents"/>
              <w:bidi w:val="0"/>
              <w:spacing w:before="0" w:after="283"/>
              <w:jc w:val="right"/>
              <w:rPr/>
            </w:pPr>
            <w:r>
              <w:rPr/>
              <w:t>6,056,084</w:t>
            </w:r>
          </w:p>
        </w:tc>
        <w:tc>
          <w:tcPr>
            <w:tcW w:w="66"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143" w:type="dxa"/>
            <w:gridSpan w:val="5"/>
            <w:tcBorders/>
            <w:vAlign w:val="center"/>
          </w:tcPr>
          <w:p>
            <w:pPr>
              <w:pStyle w:val="TableContents"/>
              <w:bidi w:val="0"/>
              <w:spacing w:before="0" w:after="283"/>
              <w:jc w:val="left"/>
              <w:rPr>
                <w:sz w:val="4"/>
                <w:szCs w:val="4"/>
              </w:rPr>
            </w:pPr>
            <w:r>
              <w:rPr>
                <w:sz w:val="4"/>
                <w:szCs w:val="4"/>
              </w:rPr>
            </w:r>
          </w:p>
        </w:tc>
        <w:tc>
          <w:tcPr>
            <w:tcW w:w="1903"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Michael T. Miller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1" w:type="dxa"/>
            <w:tcBorders>
              <w:bottom w:val="single" w:sz="6" w:space="0" w:color="000000"/>
            </w:tcBorders>
            <w:tcMar>
              <w:bottom w:w="80" w:type="dxa"/>
            </w:tcMar>
            <w:vAlign w:val="center"/>
          </w:tcPr>
          <w:p>
            <w:pPr>
              <w:pStyle w:val="TableContents"/>
              <w:bidi w:val="0"/>
              <w:spacing w:before="0" w:after="283"/>
              <w:jc w:val="left"/>
              <w:rPr/>
            </w:pPr>
            <w:r>
              <w:rPr/>
              <w:t> </w:t>
            </w:r>
          </w:p>
        </w:tc>
        <w:tc>
          <w:tcPr>
            <w:tcW w:w="1834" w:type="dxa"/>
            <w:tcBorders>
              <w:bottom w:val="single" w:sz="6" w:space="0" w:color="000000"/>
            </w:tcBorders>
            <w:tcMar>
              <w:bottom w:w="80" w:type="dxa"/>
            </w:tcMar>
            <w:vAlign w:val="center"/>
          </w:tcPr>
          <w:p>
            <w:pPr>
              <w:pStyle w:val="TableContents"/>
              <w:bidi w:val="0"/>
              <w:spacing w:before="0" w:after="283"/>
              <w:jc w:val="right"/>
              <w:rPr/>
            </w:pPr>
            <w:r>
              <w:rPr/>
              <w:t>9,053</w:t>
            </w:r>
          </w:p>
        </w:tc>
        <w:tc>
          <w:tcPr>
            <w:tcW w:w="6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000000"/>
            </w:tcBorders>
            <w:tcMar>
              <w:bottom w:w="80" w:type="dxa"/>
            </w:tcMar>
            <w:vAlign w:val="center"/>
          </w:tcPr>
          <w:p>
            <w:pPr>
              <w:pStyle w:val="TableContents"/>
              <w:bidi w:val="0"/>
              <w:spacing w:before="0" w:after="283"/>
              <w:jc w:val="left"/>
              <w:rPr/>
            </w:pPr>
            <w:r>
              <w:rPr/>
              <w:t> </w:t>
            </w:r>
          </w:p>
        </w:tc>
        <w:tc>
          <w:tcPr>
            <w:tcW w:w="1673" w:type="dxa"/>
            <w:tcBorders>
              <w:bottom w:val="single" w:sz="6" w:space="0" w:color="000000"/>
            </w:tcBorders>
            <w:tcMar>
              <w:bottom w:w="80" w:type="dxa"/>
            </w:tcMar>
            <w:vAlign w:val="center"/>
          </w:tcPr>
          <w:p>
            <w:pPr>
              <w:pStyle w:val="TableContents"/>
              <w:bidi w:val="0"/>
              <w:spacing w:before="0" w:after="283"/>
              <w:jc w:val="right"/>
              <w:rPr/>
            </w:pPr>
            <w:r>
              <w:rPr/>
              <w:t>2,003,791</w:t>
            </w:r>
          </w:p>
        </w:tc>
        <w:tc>
          <w:tcPr>
            <w:tcW w:w="66"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143" w:type="dxa"/>
            <w:gridSpan w:val="5"/>
            <w:tcBorders/>
            <w:vAlign w:val="center"/>
          </w:tcPr>
          <w:p>
            <w:pPr>
              <w:pStyle w:val="TableContents"/>
              <w:bidi w:val="0"/>
              <w:spacing w:before="0" w:after="283"/>
              <w:jc w:val="left"/>
              <w:rPr>
                <w:sz w:val="4"/>
                <w:szCs w:val="4"/>
              </w:rPr>
            </w:pPr>
            <w:r>
              <w:rPr>
                <w:sz w:val="4"/>
                <w:szCs w:val="4"/>
              </w:rPr>
            </w:r>
          </w:p>
        </w:tc>
        <w:tc>
          <w:tcPr>
            <w:tcW w:w="1903"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Brad A. Wheeler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1" w:type="dxa"/>
            <w:tcBorders>
              <w:bottom w:val="single" w:sz="6" w:space="0" w:color="000000"/>
            </w:tcBorders>
            <w:tcMar>
              <w:bottom w:w="80" w:type="dxa"/>
            </w:tcMar>
            <w:vAlign w:val="center"/>
          </w:tcPr>
          <w:p>
            <w:pPr>
              <w:pStyle w:val="TableContents"/>
              <w:bidi w:val="0"/>
              <w:spacing w:before="0" w:after="283"/>
              <w:jc w:val="left"/>
              <w:rPr/>
            </w:pPr>
            <w:r>
              <w:rPr/>
              <w:t> </w:t>
            </w:r>
          </w:p>
        </w:tc>
        <w:tc>
          <w:tcPr>
            <w:tcW w:w="1834" w:type="dxa"/>
            <w:tcBorders>
              <w:bottom w:val="single" w:sz="6" w:space="0" w:color="000000"/>
            </w:tcBorders>
            <w:tcMar>
              <w:bottom w:w="80" w:type="dxa"/>
            </w:tcMar>
            <w:vAlign w:val="center"/>
          </w:tcPr>
          <w:p>
            <w:pPr>
              <w:pStyle w:val="TableContents"/>
              <w:bidi w:val="0"/>
              <w:spacing w:before="0" w:after="283"/>
              <w:jc w:val="right"/>
              <w:rPr/>
            </w:pPr>
            <w:r>
              <w:rPr/>
              <w:t>—</w:t>
            </w:r>
          </w:p>
        </w:tc>
        <w:tc>
          <w:tcPr>
            <w:tcW w:w="6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000000"/>
            </w:tcBorders>
            <w:tcMar>
              <w:bottom w:w="80" w:type="dxa"/>
            </w:tcMar>
            <w:vAlign w:val="center"/>
          </w:tcPr>
          <w:p>
            <w:pPr>
              <w:pStyle w:val="TableContents"/>
              <w:bidi w:val="0"/>
              <w:spacing w:before="0" w:after="283"/>
              <w:jc w:val="left"/>
              <w:rPr/>
            </w:pPr>
            <w:r>
              <w:rPr/>
              <w:t> </w:t>
            </w:r>
          </w:p>
        </w:tc>
        <w:tc>
          <w:tcPr>
            <w:tcW w:w="1673" w:type="dxa"/>
            <w:tcBorders>
              <w:bottom w:val="single" w:sz="6" w:space="0" w:color="000000"/>
            </w:tcBorders>
            <w:tcMar>
              <w:bottom w:w="80" w:type="dxa"/>
            </w:tcMar>
            <w:vAlign w:val="center"/>
          </w:tcPr>
          <w:p>
            <w:pPr>
              <w:pStyle w:val="TableContents"/>
              <w:bidi w:val="0"/>
              <w:spacing w:before="0" w:after="283"/>
              <w:jc w:val="right"/>
              <w:rPr/>
            </w:pPr>
            <w:r>
              <w:rPr/>
              <w:t>—</w:t>
            </w:r>
          </w:p>
        </w:tc>
        <w:tc>
          <w:tcPr>
            <w:tcW w:w="66"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143" w:type="dxa"/>
            <w:gridSpan w:val="5"/>
            <w:tcBorders/>
            <w:vAlign w:val="center"/>
          </w:tcPr>
          <w:p>
            <w:pPr>
              <w:pStyle w:val="TableContents"/>
              <w:bidi w:val="0"/>
              <w:spacing w:before="0" w:after="283"/>
              <w:jc w:val="left"/>
              <w:rPr>
                <w:sz w:val="4"/>
                <w:szCs w:val="4"/>
              </w:rPr>
            </w:pPr>
            <w:r>
              <w:rPr>
                <w:sz w:val="4"/>
                <w:szCs w:val="4"/>
              </w:rPr>
            </w:r>
          </w:p>
        </w:tc>
        <w:tc>
          <w:tcPr>
            <w:tcW w:w="1903"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W. Jeffrey Hire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1" w:type="dxa"/>
            <w:tcBorders>
              <w:bottom w:val="single" w:sz="6" w:space="0" w:color="000000"/>
            </w:tcBorders>
            <w:tcMar>
              <w:bottom w:w="80" w:type="dxa"/>
            </w:tcMar>
            <w:vAlign w:val="center"/>
          </w:tcPr>
          <w:p>
            <w:pPr>
              <w:pStyle w:val="TableContents"/>
              <w:bidi w:val="0"/>
              <w:spacing w:before="0" w:after="283"/>
              <w:jc w:val="left"/>
              <w:rPr/>
            </w:pPr>
            <w:r>
              <w:rPr/>
              <w:t> </w:t>
            </w:r>
          </w:p>
        </w:tc>
        <w:tc>
          <w:tcPr>
            <w:tcW w:w="1834" w:type="dxa"/>
            <w:tcBorders>
              <w:bottom w:val="single" w:sz="6" w:space="0" w:color="000000"/>
            </w:tcBorders>
            <w:tcMar>
              <w:bottom w:w="80" w:type="dxa"/>
            </w:tcMar>
            <w:vAlign w:val="center"/>
          </w:tcPr>
          <w:p>
            <w:pPr>
              <w:pStyle w:val="TableContents"/>
              <w:bidi w:val="0"/>
              <w:spacing w:before="0" w:after="283"/>
              <w:jc w:val="right"/>
              <w:rPr/>
            </w:pPr>
            <w:r>
              <w:rPr/>
              <w:t>1,681</w:t>
            </w:r>
          </w:p>
        </w:tc>
        <w:tc>
          <w:tcPr>
            <w:tcW w:w="6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000000"/>
            </w:tcBorders>
            <w:tcMar>
              <w:bottom w:w="80" w:type="dxa"/>
            </w:tcMar>
            <w:vAlign w:val="center"/>
          </w:tcPr>
          <w:p>
            <w:pPr>
              <w:pStyle w:val="TableContents"/>
              <w:bidi w:val="0"/>
              <w:spacing w:before="0" w:after="283"/>
              <w:jc w:val="left"/>
              <w:rPr/>
            </w:pPr>
            <w:r>
              <w:rPr/>
              <w:t> </w:t>
            </w:r>
          </w:p>
        </w:tc>
        <w:tc>
          <w:tcPr>
            <w:tcW w:w="1673" w:type="dxa"/>
            <w:tcBorders>
              <w:bottom w:val="single" w:sz="6" w:space="0" w:color="000000"/>
            </w:tcBorders>
            <w:tcMar>
              <w:bottom w:w="80" w:type="dxa"/>
            </w:tcMar>
            <w:vAlign w:val="center"/>
          </w:tcPr>
          <w:p>
            <w:pPr>
              <w:pStyle w:val="TableContents"/>
              <w:bidi w:val="0"/>
              <w:spacing w:before="0" w:after="283"/>
              <w:jc w:val="right"/>
              <w:rPr/>
            </w:pPr>
            <w:r>
              <w:rPr/>
              <w:t>372,073</w:t>
            </w:r>
          </w:p>
        </w:tc>
        <w:tc>
          <w:tcPr>
            <w:tcW w:w="66"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895" w:type="dxa"/>
            <w:tcBorders/>
            <w:shd w:fill="D5DBE3" w:val="clear"/>
            <w:vAlign w:val="center"/>
          </w:tcPr>
          <w:p>
            <w:pPr>
              <w:pStyle w:val="TableContents"/>
              <w:bidi w:val="0"/>
              <w:spacing w:before="0" w:after="283"/>
              <w:jc w:val="left"/>
              <w:rPr>
                <w:sz w:val="4"/>
                <w:szCs w:val="4"/>
              </w:rPr>
            </w:pPr>
            <w:r>
              <w:rPr>
                <w:sz w:val="4"/>
                <w:szCs w:val="4"/>
              </w:rPr>
            </w:r>
          </w:p>
        </w:tc>
        <w:tc>
          <w:tcPr>
            <w:tcW w:w="2143" w:type="dxa"/>
            <w:gridSpan w:val="5"/>
            <w:tcBorders/>
            <w:vAlign w:val="center"/>
          </w:tcPr>
          <w:p>
            <w:pPr>
              <w:pStyle w:val="TableContents"/>
              <w:bidi w:val="0"/>
              <w:spacing w:before="0" w:after="283"/>
              <w:jc w:val="left"/>
              <w:rPr>
                <w:sz w:val="4"/>
                <w:szCs w:val="4"/>
              </w:rPr>
            </w:pPr>
            <w:r>
              <w:rPr>
                <w:sz w:val="4"/>
                <w:szCs w:val="4"/>
              </w:rPr>
            </w:r>
          </w:p>
        </w:tc>
        <w:tc>
          <w:tcPr>
            <w:tcW w:w="1903"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12" w:space="0" w:color="1070B8"/>
            </w:tcBorders>
            <w:shd w:fill="D5DBE3" w:val="clear"/>
            <w:tcMar>
              <w:bottom w:w="100" w:type="dxa"/>
            </w:tcMar>
            <w:vAlign w:val="center"/>
          </w:tcPr>
          <w:p>
            <w:pPr>
              <w:pStyle w:val="TableContents"/>
              <w:bidi w:val="0"/>
              <w:spacing w:before="0" w:after="0"/>
              <w:jc w:val="left"/>
              <w:rPr/>
            </w:pPr>
            <w:r>
              <w:rPr/>
              <w:t> </w:t>
            </w:r>
            <w:r>
              <w:rPr>
                <w:rFonts w:ascii="arial" w:hAnsi="arial"/>
                <w:sz w:val="20"/>
              </w:rPr>
              <w:t>Jason R. Niswonger</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61" w:type="dxa"/>
            <w:tcBorders>
              <w:bottom w:val="single" w:sz="12" w:space="0" w:color="1070B8"/>
            </w:tcBorders>
            <w:tcMar>
              <w:bottom w:w="100" w:type="dxa"/>
            </w:tcMar>
            <w:vAlign w:val="center"/>
          </w:tcPr>
          <w:p>
            <w:pPr>
              <w:pStyle w:val="TableContents"/>
              <w:bidi w:val="0"/>
              <w:spacing w:before="0" w:after="283"/>
              <w:jc w:val="left"/>
              <w:rPr/>
            </w:pPr>
            <w:r>
              <w:rPr/>
              <w:t> </w:t>
            </w:r>
          </w:p>
        </w:tc>
        <w:tc>
          <w:tcPr>
            <w:tcW w:w="1834" w:type="dxa"/>
            <w:tcBorders>
              <w:bottom w:val="single" w:sz="12" w:space="0" w:color="1070B8"/>
            </w:tcBorders>
            <w:tcMar>
              <w:bottom w:w="100" w:type="dxa"/>
            </w:tcMar>
            <w:vAlign w:val="center"/>
          </w:tcPr>
          <w:p>
            <w:pPr>
              <w:pStyle w:val="TableContents"/>
              <w:bidi w:val="0"/>
              <w:spacing w:before="0" w:after="283"/>
              <w:jc w:val="right"/>
              <w:rPr/>
            </w:pPr>
            <w:r>
              <w:rPr/>
              <w:t>2,117</w:t>
            </w:r>
          </w:p>
        </w:tc>
        <w:tc>
          <w:tcPr>
            <w:tcW w:w="63" w:type="dxa"/>
            <w:tcBorders>
              <w:bottom w:val="single" w:sz="12" w:space="0" w:color="1070B8"/>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12" w:space="0" w:color="1070B8"/>
            </w:tcBorders>
            <w:tcMar>
              <w:bottom w:w="100" w:type="dxa"/>
            </w:tcMar>
            <w:vAlign w:val="center"/>
          </w:tcPr>
          <w:p>
            <w:pPr>
              <w:pStyle w:val="TableContents"/>
              <w:bidi w:val="0"/>
              <w:spacing w:before="0" w:after="283"/>
              <w:jc w:val="left"/>
              <w:rPr/>
            </w:pPr>
            <w:r>
              <w:rPr/>
              <w:t> </w:t>
            </w:r>
          </w:p>
        </w:tc>
        <w:tc>
          <w:tcPr>
            <w:tcW w:w="1673" w:type="dxa"/>
            <w:tcBorders>
              <w:bottom w:val="single" w:sz="12" w:space="0" w:color="1070B8"/>
            </w:tcBorders>
            <w:tcMar>
              <w:bottom w:w="100" w:type="dxa"/>
            </w:tcMar>
            <w:vAlign w:val="center"/>
          </w:tcPr>
          <w:p>
            <w:pPr>
              <w:pStyle w:val="TableContents"/>
              <w:bidi w:val="0"/>
              <w:spacing w:before="0" w:after="283"/>
              <w:jc w:val="right"/>
              <w:rPr/>
            </w:pPr>
            <w:r>
              <w:rPr/>
              <w:t>468,577</w:t>
            </w:r>
          </w:p>
        </w:tc>
        <w:tc>
          <w:tcPr>
            <w:tcW w:w="66" w:type="dxa"/>
            <w:tcBorders>
              <w:bottom w:val="single" w:sz="12" w:space="0" w:color="1070B8"/>
            </w:tcBorders>
            <w:tcMar>
              <w:bottom w:w="10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(1)</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The value realized on vesting was determined by multiplying the closing price of our common stock on the vesting date of April 19, 2024 ($221.34) by the number of shares vested. </w:t>
            </w:r>
          </w:p>
        </w:tc>
      </w:tr>
    </w:tbl>
    <w:p>
      <w:pPr>
        <w:pStyle w:val="TextBody"/>
        <w:bidi w:val="0"/>
        <w:spacing w:before="360" w:after="0"/>
        <w:jc w:val="left"/>
        <w:rPr>
          <w:rFonts w:ascii="arial" w:hAnsi="arial"/>
          <w:b/>
          <w:color w:val="1F295C"/>
          <w:sz w:val="24"/>
        </w:rPr>
      </w:pPr>
      <w:bookmarkStart w:id="98" w:name="toc849638_67"/>
      <w:bookmarkEnd w:id="98"/>
      <w:r>
        <w:rPr>
          <w:rFonts w:ascii="arial" w:hAnsi="arial"/>
          <w:b/>
          <w:color w:val="1F295C"/>
          <w:sz w:val="24"/>
        </w:rPr>
        <w:t xml:space="preserve">Pension Benefits </w:t>
      </w:r>
    </w:p>
    <w:p>
      <w:pPr>
        <w:pStyle w:val="TextBody"/>
        <w:bidi w:val="0"/>
        <w:spacing w:before="240" w:after="0"/>
        <w:jc w:val="left"/>
        <w:rPr>
          <w:rFonts w:ascii="arial" w:hAnsi="arial"/>
          <w:sz w:val="20"/>
        </w:rPr>
      </w:pPr>
      <w:r>
        <w:rPr>
          <w:rFonts w:ascii="arial" w:hAnsi="arial"/>
          <w:sz w:val="20"/>
        </w:rPr>
        <w:t xml:space="preserve">We do not provide any qualified or non-qualified defined pension benefit plans for our NEOs. The CHC Committee may elect to adopt such plans in the future if it determines that doing so best serves the interests of the Company and our stockholders. </w:t>
      </w:r>
    </w:p>
    <w:p>
      <w:pPr>
        <w:pStyle w:val="TextBody"/>
        <w:bidi w:val="0"/>
        <w:spacing w:before="360" w:after="0"/>
        <w:jc w:val="left"/>
        <w:rPr>
          <w:rFonts w:ascii="arial" w:hAnsi="arial"/>
          <w:b/>
          <w:color w:val="1F295C"/>
          <w:sz w:val="24"/>
        </w:rPr>
      </w:pPr>
      <w:bookmarkStart w:id="99" w:name="toc849638_68"/>
      <w:bookmarkEnd w:id="99"/>
      <w:r>
        <w:rPr>
          <w:rFonts w:ascii="arial" w:hAnsi="arial"/>
          <w:b/>
          <w:color w:val="1F295C"/>
          <w:sz w:val="24"/>
        </w:rPr>
        <w:t xml:space="preserve">Non-Qualified Deferred Compensation </w:t>
      </w:r>
    </w:p>
    <w:p>
      <w:pPr>
        <w:pStyle w:val="TextBody"/>
        <w:bidi w:val="0"/>
        <w:spacing w:before="240" w:after="0"/>
        <w:jc w:val="left"/>
        <w:rPr>
          <w:rFonts w:ascii="arial" w:hAnsi="arial"/>
          <w:sz w:val="20"/>
        </w:rPr>
      </w:pPr>
      <w:r>
        <w:rPr>
          <w:rFonts w:ascii="arial" w:hAnsi="arial"/>
          <w:sz w:val="20"/>
        </w:rPr>
        <w:t xml:space="preserve">In 2020, we adopted a non-qualified deferred compensation plan to allow our executive officers and other highly compensated employees to defer a portion of their eligible compensation above the limits in our 401(k) plan. The Company adopted a “rabbi trust” to fund benefits under the plan, which is an irrevocable trust, but is subject to the claims of the Company’s creditors. Under the terms of the plan, eligible individuals, including our named executive officers, may annually elect to defer a portion of eligible compensation, primarily base salary, commission and cash bonuses. Deferral elections are irrevocable once made and remain in effect for the calendar year of the election. The Company may elect to provide a discretionary matching contribution or a discretionary non-elective contribution in any year, but to date has not done so. Participants are immediately vested in contributions and earnings from contributions. Company matches and non-elective contributions and associated earnings vest after three years of service (except in the event of a change in control or when the participant reaches age 65, in which case both Company matches and non-elective contributions vest immediately). Participants may elect among a number of distribution options, including (i) either lump sum or payments over two to ten years upon separation from service; and (ii) lump sum or payments over two to ten years of all or a portion of the amount deferred in a given year, after at least three years following the year of deferral.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Executive Compensation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table below sets forth information concerning the amount of each NEO’s compensation that was deferred under our non-qualified deferred compensation plan in 2024. </w:t>
      </w:r>
    </w:p>
    <w:p>
      <w:pPr>
        <w:pStyle w:val="TextBody"/>
        <w:bidi w:val="0"/>
        <w:spacing w:before="0" w:after="0"/>
        <w:jc w:val="left"/>
        <w:rPr/>
      </w:pPr>
      <w:r>
        <w:rPr/>
        <w:t> </w:t>
      </w:r>
    </w:p>
    <w:tbl>
      <w:tblPr>
        <w:tblW w:w="10345" w:type="dxa"/>
        <w:jc w:val="left"/>
        <w:tblInd w:w="0" w:type="dxa"/>
        <w:tblLayout w:type="fixed"/>
        <w:tblCellMar>
          <w:top w:w="0" w:type="dxa"/>
          <w:left w:w="0" w:type="dxa"/>
          <w:bottom w:w="0" w:type="dxa"/>
          <w:right w:w="0" w:type="dxa"/>
        </w:tblCellMar>
      </w:tblPr>
      <w:tblGrid>
        <w:gridCol w:w="935"/>
        <w:gridCol w:w="23"/>
        <w:gridCol w:w="56"/>
        <w:gridCol w:w="148"/>
        <w:gridCol w:w="1678"/>
        <w:gridCol w:w="58"/>
        <w:gridCol w:w="23"/>
        <w:gridCol w:w="181"/>
        <w:gridCol w:w="473"/>
        <w:gridCol w:w="1104"/>
        <w:gridCol w:w="182"/>
        <w:gridCol w:w="23"/>
        <w:gridCol w:w="60"/>
        <w:gridCol w:w="157"/>
        <w:gridCol w:w="1782"/>
        <w:gridCol w:w="61"/>
        <w:gridCol w:w="23"/>
        <w:gridCol w:w="130"/>
        <w:gridCol w:w="341"/>
        <w:gridCol w:w="796"/>
        <w:gridCol w:w="133"/>
        <w:gridCol w:w="23"/>
        <w:gridCol w:w="48"/>
        <w:gridCol w:w="127"/>
        <w:gridCol w:w="1698"/>
        <w:gridCol w:w="82"/>
      </w:tblGrid>
      <w:tr>
        <w:trPr/>
        <w:tc>
          <w:tcPr>
            <w:tcW w:w="9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2083" w:type="dxa"/>
            <w:gridSpan w:val="5"/>
            <w:tcBorders/>
            <w:vAlign w:val="center"/>
          </w:tcPr>
          <w:p>
            <w:pPr>
              <w:pStyle w:val="TableContents"/>
              <w:bidi w:val="0"/>
              <w:spacing w:before="0" w:after="283"/>
              <w:jc w:val="left"/>
              <w:rPr>
                <w:sz w:val="4"/>
                <w:szCs w:val="4"/>
              </w:rPr>
            </w:pPr>
            <w:r>
              <w:rPr>
                <w:sz w:val="4"/>
                <w:szCs w:val="4"/>
              </w:rPr>
            </w:r>
          </w:p>
        </w:tc>
        <w:tc>
          <w:tcPr>
            <w:tcW w:w="1423" w:type="dxa"/>
            <w:gridSpan w:val="5"/>
            <w:tcBorders/>
            <w:vAlign w:val="center"/>
          </w:tcPr>
          <w:p>
            <w:pPr>
              <w:pStyle w:val="TableContents"/>
              <w:bidi w:val="0"/>
              <w:spacing w:before="0" w:after="283"/>
              <w:jc w:val="left"/>
              <w:rPr>
                <w:sz w:val="4"/>
                <w:szCs w:val="4"/>
              </w:rPr>
            </w:pPr>
            <w:r>
              <w:rPr>
                <w:sz w:val="4"/>
                <w:szCs w:val="4"/>
              </w:rPr>
            </w:r>
          </w:p>
        </w:tc>
        <w:tc>
          <w:tcPr>
            <w:tcW w:w="1978" w:type="dxa"/>
            <w:gridSpan w:val="5"/>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12" w:space="0" w:color="1070B8"/>
            </w:tcBorders>
            <w:tcMar>
              <w:bottom w:w="80" w:type="dxa"/>
            </w:tcMar>
            <w:vAlign w:val="center"/>
          </w:tcPr>
          <w:p>
            <w:pPr>
              <w:pStyle w:val="TableContents"/>
              <w:bidi w:val="0"/>
              <w:spacing w:before="0" w:after="283"/>
              <w:jc w:val="left"/>
              <w:rPr>
                <w:b/>
                <w:color w:val="1F295C"/>
              </w:rPr>
            </w:pPr>
            <w:r>
              <w:rPr>
                <w:b/>
                <w:color w:val="1F295C"/>
              </w:rPr>
              <w:t>Name</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940"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Executive</w:t>
              <w:br/>
              <w:t>Contributions</w:t>
              <w:br/>
              <w:t>in Last Fiscal Year</w:t>
              <w:br/>
              <w:t>($)(1)</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940"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Registrant</w:t>
              <w:br/>
              <w:t>Contributions</w:t>
              <w:br/>
              <w:t>in Last Fiscal Year</w:t>
              <w:br/>
              <w:t>($)</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060"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Aggregate Earnings</w:t>
              <w:br/>
              <w:t>in Last Fiscal Year</w:t>
              <w:br/>
              <w:t>($)</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400"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Aggregate</w:t>
              <w:br/>
              <w:t>Withdrawals/</w:t>
              <w:br/>
              <w:t>Distributions</w:t>
              <w:br/>
              <w:t>($)</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955"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Aggregate Balance</w:t>
              <w:br/>
              <w:t>at Last Fiscal Year</w:t>
              <w:br/>
              <w:t>End</w:t>
              <w:br/>
              <w:t>($)</w:t>
            </w:r>
          </w:p>
        </w:tc>
      </w:tr>
      <w:tr>
        <w:trPr/>
        <w:tc>
          <w:tcPr>
            <w:tcW w:w="935" w:type="dxa"/>
            <w:tcBorders/>
            <w:shd w:fill="D5DBE3" w:val="clear"/>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2083" w:type="dxa"/>
            <w:gridSpan w:val="5"/>
            <w:tcBorders/>
            <w:vAlign w:val="center"/>
          </w:tcPr>
          <w:p>
            <w:pPr>
              <w:pStyle w:val="TableContents"/>
              <w:bidi w:val="0"/>
              <w:spacing w:before="0" w:after="283"/>
              <w:jc w:val="left"/>
              <w:rPr>
                <w:sz w:val="4"/>
                <w:szCs w:val="4"/>
              </w:rPr>
            </w:pPr>
            <w:r>
              <w:rPr>
                <w:sz w:val="4"/>
                <w:szCs w:val="4"/>
              </w:rPr>
            </w:r>
          </w:p>
        </w:tc>
        <w:tc>
          <w:tcPr>
            <w:tcW w:w="1423" w:type="dxa"/>
            <w:gridSpan w:val="5"/>
            <w:tcBorders/>
            <w:vAlign w:val="center"/>
          </w:tcPr>
          <w:p>
            <w:pPr>
              <w:pStyle w:val="TableContents"/>
              <w:bidi w:val="0"/>
              <w:spacing w:before="0" w:after="283"/>
              <w:jc w:val="left"/>
              <w:rPr>
                <w:sz w:val="4"/>
                <w:szCs w:val="4"/>
              </w:rPr>
            </w:pPr>
            <w:r>
              <w:rPr>
                <w:sz w:val="4"/>
                <w:szCs w:val="4"/>
              </w:rPr>
            </w:r>
          </w:p>
        </w:tc>
        <w:tc>
          <w:tcPr>
            <w:tcW w:w="1978" w:type="dxa"/>
            <w:gridSpan w:val="5"/>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Jeffrey W. Edwards</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000000"/>
            </w:tcBorders>
            <w:tcMar>
              <w:bottom w:w="80" w:type="dxa"/>
            </w:tcMar>
            <w:vAlign w:val="center"/>
          </w:tcPr>
          <w:p>
            <w:pPr>
              <w:pStyle w:val="TableContents"/>
              <w:bidi w:val="0"/>
              <w:spacing w:before="0" w:after="283"/>
              <w:jc w:val="left"/>
              <w:rPr/>
            </w:pPr>
            <w:r>
              <w:rPr/>
              <w:t> </w:t>
            </w:r>
          </w:p>
        </w:tc>
        <w:tc>
          <w:tcPr>
            <w:tcW w:w="1678" w:type="dxa"/>
            <w:tcBorders>
              <w:bottom w:val="single" w:sz="6" w:space="0" w:color="000000"/>
            </w:tcBorders>
            <w:tcMar>
              <w:bottom w:w="80" w:type="dxa"/>
            </w:tcMar>
            <w:vAlign w:val="center"/>
          </w:tcPr>
          <w:p>
            <w:pPr>
              <w:pStyle w:val="TableContents"/>
              <w:bidi w:val="0"/>
              <w:spacing w:before="0" w:after="283"/>
              <w:jc w:val="right"/>
              <w:rPr/>
            </w:pPr>
            <w:r>
              <w:rPr/>
              <w:t>–</w:t>
            </w:r>
          </w:p>
        </w:tc>
        <w:tc>
          <w:tcPr>
            <w:tcW w:w="58"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73"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pPr>
            <w:r>
              <w:rPr/>
              <w:t>–</w:t>
            </w:r>
          </w:p>
        </w:tc>
        <w:tc>
          <w:tcPr>
            <w:tcW w:w="18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000000"/>
            </w:tcBorders>
            <w:tcMar>
              <w:bottom w:w="80" w:type="dxa"/>
            </w:tcMar>
            <w:vAlign w:val="center"/>
          </w:tcPr>
          <w:p>
            <w:pPr>
              <w:pStyle w:val="TableContents"/>
              <w:bidi w:val="0"/>
              <w:spacing w:before="0" w:after="283"/>
              <w:jc w:val="left"/>
              <w:rPr/>
            </w:pPr>
            <w:r>
              <w:rPr/>
              <w:t> </w:t>
            </w:r>
          </w:p>
        </w:tc>
        <w:tc>
          <w:tcPr>
            <w:tcW w:w="1782" w:type="dxa"/>
            <w:tcBorders>
              <w:bottom w:val="single" w:sz="6" w:space="0" w:color="000000"/>
            </w:tcBorders>
            <w:tcMar>
              <w:bottom w:w="80" w:type="dxa"/>
            </w:tcMar>
            <w:vAlign w:val="center"/>
          </w:tcPr>
          <w:p>
            <w:pPr>
              <w:pStyle w:val="TableContents"/>
              <w:bidi w:val="0"/>
              <w:spacing w:before="0" w:after="283"/>
              <w:jc w:val="right"/>
              <w:rPr/>
            </w:pPr>
            <w:r>
              <w:rPr/>
              <w:t>–</w:t>
            </w:r>
          </w:p>
        </w:tc>
        <w:tc>
          <w:tcPr>
            <w:tcW w:w="61"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1" w:type="dxa"/>
            <w:tcBorders>
              <w:bottom w:val="single" w:sz="6" w:space="0" w:color="000000"/>
            </w:tcBorders>
            <w:tcMar>
              <w:bottom w:w="80" w:type="dxa"/>
            </w:tcMar>
            <w:vAlign w:val="center"/>
          </w:tcPr>
          <w:p>
            <w:pPr>
              <w:pStyle w:val="TableContents"/>
              <w:bidi w:val="0"/>
              <w:spacing w:before="0" w:after="283"/>
              <w:jc w:val="left"/>
              <w:rPr/>
            </w:pPr>
            <w:r>
              <w:rPr/>
              <w:t> </w:t>
            </w:r>
          </w:p>
        </w:tc>
        <w:tc>
          <w:tcPr>
            <w:tcW w:w="796" w:type="dxa"/>
            <w:tcBorders>
              <w:bottom w:val="single" w:sz="6" w:space="0" w:color="000000"/>
            </w:tcBorders>
            <w:tcMar>
              <w:bottom w:w="80" w:type="dxa"/>
            </w:tcMar>
            <w:vAlign w:val="center"/>
          </w:tcPr>
          <w:p>
            <w:pPr>
              <w:pStyle w:val="TableContents"/>
              <w:bidi w:val="0"/>
              <w:spacing w:before="0" w:after="283"/>
              <w:jc w:val="right"/>
              <w:rPr/>
            </w:pPr>
            <w:r>
              <w:rPr/>
              <w:t>–</w:t>
            </w:r>
          </w:p>
        </w:tc>
        <w:tc>
          <w:tcPr>
            <w:tcW w:w="13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 w:type="dxa"/>
            <w:tcBorders>
              <w:bottom w:val="single" w:sz="6" w:space="0" w:color="000000"/>
            </w:tcBorders>
            <w:tcMar>
              <w:bottom w:w="80" w:type="dxa"/>
            </w:tcMar>
            <w:vAlign w:val="center"/>
          </w:tcPr>
          <w:p>
            <w:pPr>
              <w:pStyle w:val="TableContents"/>
              <w:bidi w:val="0"/>
              <w:spacing w:before="0" w:after="283"/>
              <w:jc w:val="left"/>
              <w:rPr/>
            </w:pPr>
            <w:r>
              <w:rPr/>
              <w:t> </w:t>
            </w:r>
          </w:p>
        </w:tc>
        <w:tc>
          <w:tcPr>
            <w:tcW w:w="1698" w:type="dxa"/>
            <w:tcBorders>
              <w:bottom w:val="single" w:sz="6" w:space="0" w:color="000000"/>
            </w:tcBorders>
            <w:tcMar>
              <w:bottom w:w="80" w:type="dxa"/>
            </w:tcMar>
            <w:vAlign w:val="center"/>
          </w:tcPr>
          <w:p>
            <w:pPr>
              <w:pStyle w:val="TableContents"/>
              <w:bidi w:val="0"/>
              <w:spacing w:before="0" w:after="283"/>
              <w:jc w:val="right"/>
              <w:rPr/>
            </w:pPr>
            <w:r>
              <w:rPr/>
              <w:t>–</w:t>
            </w:r>
          </w:p>
        </w:tc>
        <w:tc>
          <w:tcPr>
            <w:tcW w:w="8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935" w:type="dxa"/>
            <w:tcBorders/>
            <w:shd w:fill="D5DBE3" w:val="clear"/>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2083" w:type="dxa"/>
            <w:gridSpan w:val="5"/>
            <w:tcBorders/>
            <w:vAlign w:val="center"/>
          </w:tcPr>
          <w:p>
            <w:pPr>
              <w:pStyle w:val="TableContents"/>
              <w:bidi w:val="0"/>
              <w:spacing w:before="0" w:after="283"/>
              <w:jc w:val="left"/>
              <w:rPr>
                <w:sz w:val="4"/>
                <w:szCs w:val="4"/>
              </w:rPr>
            </w:pPr>
            <w:r>
              <w:rPr>
                <w:sz w:val="4"/>
                <w:szCs w:val="4"/>
              </w:rPr>
            </w:r>
          </w:p>
        </w:tc>
        <w:tc>
          <w:tcPr>
            <w:tcW w:w="1423" w:type="dxa"/>
            <w:gridSpan w:val="5"/>
            <w:tcBorders/>
            <w:vAlign w:val="center"/>
          </w:tcPr>
          <w:p>
            <w:pPr>
              <w:pStyle w:val="TableContents"/>
              <w:bidi w:val="0"/>
              <w:spacing w:before="0" w:after="283"/>
              <w:jc w:val="left"/>
              <w:rPr>
                <w:sz w:val="4"/>
                <w:szCs w:val="4"/>
              </w:rPr>
            </w:pPr>
            <w:r>
              <w:rPr>
                <w:sz w:val="4"/>
                <w:szCs w:val="4"/>
              </w:rPr>
            </w:r>
          </w:p>
        </w:tc>
        <w:tc>
          <w:tcPr>
            <w:tcW w:w="1978" w:type="dxa"/>
            <w:gridSpan w:val="5"/>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Michael T. Miller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000000"/>
            </w:tcBorders>
            <w:tcMar>
              <w:bottom w:w="80" w:type="dxa"/>
            </w:tcMar>
            <w:vAlign w:val="center"/>
          </w:tcPr>
          <w:p>
            <w:pPr>
              <w:pStyle w:val="TableContents"/>
              <w:bidi w:val="0"/>
              <w:spacing w:before="0" w:after="283"/>
              <w:jc w:val="left"/>
              <w:rPr/>
            </w:pPr>
            <w:r>
              <w:rPr/>
              <w:t> </w:t>
            </w:r>
          </w:p>
        </w:tc>
        <w:tc>
          <w:tcPr>
            <w:tcW w:w="1678" w:type="dxa"/>
            <w:tcBorders>
              <w:bottom w:val="single" w:sz="6" w:space="0" w:color="000000"/>
            </w:tcBorders>
            <w:tcMar>
              <w:bottom w:w="80" w:type="dxa"/>
            </w:tcMar>
            <w:vAlign w:val="center"/>
          </w:tcPr>
          <w:p>
            <w:pPr>
              <w:pStyle w:val="TableContents"/>
              <w:bidi w:val="0"/>
              <w:spacing w:before="0" w:after="283"/>
              <w:jc w:val="right"/>
              <w:rPr/>
            </w:pPr>
            <w:r>
              <w:rPr/>
              <w:t>–</w:t>
            </w:r>
          </w:p>
        </w:tc>
        <w:tc>
          <w:tcPr>
            <w:tcW w:w="58"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73"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pPr>
            <w:r>
              <w:rPr/>
              <w:t>–</w:t>
            </w:r>
          </w:p>
        </w:tc>
        <w:tc>
          <w:tcPr>
            <w:tcW w:w="18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000000"/>
            </w:tcBorders>
            <w:tcMar>
              <w:bottom w:w="80" w:type="dxa"/>
            </w:tcMar>
            <w:vAlign w:val="center"/>
          </w:tcPr>
          <w:p>
            <w:pPr>
              <w:pStyle w:val="TableContents"/>
              <w:bidi w:val="0"/>
              <w:spacing w:before="0" w:after="283"/>
              <w:jc w:val="left"/>
              <w:rPr/>
            </w:pPr>
            <w:r>
              <w:rPr/>
              <w:t> </w:t>
            </w:r>
          </w:p>
        </w:tc>
        <w:tc>
          <w:tcPr>
            <w:tcW w:w="1782" w:type="dxa"/>
            <w:tcBorders>
              <w:bottom w:val="single" w:sz="6" w:space="0" w:color="000000"/>
            </w:tcBorders>
            <w:tcMar>
              <w:bottom w:w="80" w:type="dxa"/>
            </w:tcMar>
            <w:vAlign w:val="center"/>
          </w:tcPr>
          <w:p>
            <w:pPr>
              <w:pStyle w:val="TableContents"/>
              <w:bidi w:val="0"/>
              <w:spacing w:before="0" w:after="283"/>
              <w:jc w:val="right"/>
              <w:rPr/>
            </w:pPr>
            <w:r>
              <w:rPr/>
              <w:t>–</w:t>
            </w:r>
          </w:p>
        </w:tc>
        <w:tc>
          <w:tcPr>
            <w:tcW w:w="61"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1" w:type="dxa"/>
            <w:tcBorders>
              <w:bottom w:val="single" w:sz="6" w:space="0" w:color="000000"/>
            </w:tcBorders>
            <w:tcMar>
              <w:bottom w:w="80" w:type="dxa"/>
            </w:tcMar>
            <w:vAlign w:val="center"/>
          </w:tcPr>
          <w:p>
            <w:pPr>
              <w:pStyle w:val="TableContents"/>
              <w:bidi w:val="0"/>
              <w:spacing w:before="0" w:after="283"/>
              <w:jc w:val="left"/>
              <w:rPr/>
            </w:pPr>
            <w:r>
              <w:rPr/>
              <w:t> </w:t>
            </w:r>
          </w:p>
        </w:tc>
        <w:tc>
          <w:tcPr>
            <w:tcW w:w="796" w:type="dxa"/>
            <w:tcBorders>
              <w:bottom w:val="single" w:sz="6" w:space="0" w:color="000000"/>
            </w:tcBorders>
            <w:tcMar>
              <w:bottom w:w="80" w:type="dxa"/>
            </w:tcMar>
            <w:vAlign w:val="center"/>
          </w:tcPr>
          <w:p>
            <w:pPr>
              <w:pStyle w:val="TableContents"/>
              <w:bidi w:val="0"/>
              <w:spacing w:before="0" w:after="283"/>
              <w:jc w:val="right"/>
              <w:rPr/>
            </w:pPr>
            <w:r>
              <w:rPr/>
              <w:t>–</w:t>
            </w:r>
          </w:p>
        </w:tc>
        <w:tc>
          <w:tcPr>
            <w:tcW w:w="13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 w:type="dxa"/>
            <w:tcBorders>
              <w:bottom w:val="single" w:sz="6" w:space="0" w:color="000000"/>
            </w:tcBorders>
            <w:tcMar>
              <w:bottom w:w="80" w:type="dxa"/>
            </w:tcMar>
            <w:vAlign w:val="center"/>
          </w:tcPr>
          <w:p>
            <w:pPr>
              <w:pStyle w:val="TableContents"/>
              <w:bidi w:val="0"/>
              <w:spacing w:before="0" w:after="283"/>
              <w:jc w:val="left"/>
              <w:rPr/>
            </w:pPr>
            <w:r>
              <w:rPr/>
              <w:t> </w:t>
            </w:r>
          </w:p>
        </w:tc>
        <w:tc>
          <w:tcPr>
            <w:tcW w:w="1698" w:type="dxa"/>
            <w:tcBorders>
              <w:bottom w:val="single" w:sz="6" w:space="0" w:color="000000"/>
            </w:tcBorders>
            <w:tcMar>
              <w:bottom w:w="80" w:type="dxa"/>
            </w:tcMar>
            <w:vAlign w:val="center"/>
          </w:tcPr>
          <w:p>
            <w:pPr>
              <w:pStyle w:val="TableContents"/>
              <w:bidi w:val="0"/>
              <w:spacing w:before="0" w:after="283"/>
              <w:jc w:val="right"/>
              <w:rPr/>
            </w:pPr>
            <w:r>
              <w:rPr/>
              <w:t>–</w:t>
            </w:r>
          </w:p>
        </w:tc>
        <w:tc>
          <w:tcPr>
            <w:tcW w:w="8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935" w:type="dxa"/>
            <w:tcBorders/>
            <w:shd w:fill="D5DBE3" w:val="clear"/>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2083" w:type="dxa"/>
            <w:gridSpan w:val="5"/>
            <w:tcBorders/>
            <w:vAlign w:val="center"/>
          </w:tcPr>
          <w:p>
            <w:pPr>
              <w:pStyle w:val="TableContents"/>
              <w:bidi w:val="0"/>
              <w:spacing w:before="0" w:after="283"/>
              <w:jc w:val="left"/>
              <w:rPr>
                <w:sz w:val="4"/>
                <w:szCs w:val="4"/>
              </w:rPr>
            </w:pPr>
            <w:r>
              <w:rPr>
                <w:sz w:val="4"/>
                <w:szCs w:val="4"/>
              </w:rPr>
            </w:r>
          </w:p>
        </w:tc>
        <w:tc>
          <w:tcPr>
            <w:tcW w:w="1423" w:type="dxa"/>
            <w:gridSpan w:val="5"/>
            <w:tcBorders/>
            <w:vAlign w:val="center"/>
          </w:tcPr>
          <w:p>
            <w:pPr>
              <w:pStyle w:val="TableContents"/>
              <w:bidi w:val="0"/>
              <w:spacing w:before="0" w:after="283"/>
              <w:jc w:val="left"/>
              <w:rPr>
                <w:sz w:val="4"/>
                <w:szCs w:val="4"/>
              </w:rPr>
            </w:pPr>
            <w:r>
              <w:rPr>
                <w:sz w:val="4"/>
                <w:szCs w:val="4"/>
              </w:rPr>
            </w:r>
          </w:p>
        </w:tc>
        <w:tc>
          <w:tcPr>
            <w:tcW w:w="1978" w:type="dxa"/>
            <w:gridSpan w:val="5"/>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Brad A. Wheeler</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000000"/>
            </w:tcBorders>
            <w:tcMar>
              <w:bottom w:w="80" w:type="dxa"/>
            </w:tcMar>
            <w:vAlign w:val="center"/>
          </w:tcPr>
          <w:p>
            <w:pPr>
              <w:pStyle w:val="TableContents"/>
              <w:bidi w:val="0"/>
              <w:spacing w:before="0" w:after="283"/>
              <w:jc w:val="left"/>
              <w:rPr/>
            </w:pPr>
            <w:r>
              <w:rPr/>
              <w:t> </w:t>
            </w:r>
          </w:p>
        </w:tc>
        <w:tc>
          <w:tcPr>
            <w:tcW w:w="1678" w:type="dxa"/>
            <w:tcBorders>
              <w:bottom w:val="single" w:sz="6" w:space="0" w:color="000000"/>
            </w:tcBorders>
            <w:tcMar>
              <w:bottom w:w="80" w:type="dxa"/>
            </w:tcMar>
            <w:vAlign w:val="center"/>
          </w:tcPr>
          <w:p>
            <w:pPr>
              <w:pStyle w:val="TableContents"/>
              <w:bidi w:val="0"/>
              <w:spacing w:before="0" w:after="283"/>
              <w:jc w:val="right"/>
              <w:rPr/>
            </w:pPr>
            <w:r>
              <w:rPr/>
              <w:t>48,904</w:t>
            </w:r>
          </w:p>
        </w:tc>
        <w:tc>
          <w:tcPr>
            <w:tcW w:w="58"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73"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pPr>
            <w:r>
              <w:rPr/>
              <w:t>–</w:t>
            </w:r>
          </w:p>
        </w:tc>
        <w:tc>
          <w:tcPr>
            <w:tcW w:w="18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000000"/>
            </w:tcBorders>
            <w:tcMar>
              <w:bottom w:w="80" w:type="dxa"/>
            </w:tcMar>
            <w:vAlign w:val="center"/>
          </w:tcPr>
          <w:p>
            <w:pPr>
              <w:pStyle w:val="TableContents"/>
              <w:bidi w:val="0"/>
              <w:spacing w:before="0" w:after="283"/>
              <w:jc w:val="left"/>
              <w:rPr/>
            </w:pPr>
            <w:r>
              <w:rPr/>
              <w:t> </w:t>
            </w:r>
          </w:p>
        </w:tc>
        <w:tc>
          <w:tcPr>
            <w:tcW w:w="1782" w:type="dxa"/>
            <w:tcBorders>
              <w:bottom w:val="single" w:sz="6" w:space="0" w:color="000000"/>
            </w:tcBorders>
            <w:tcMar>
              <w:bottom w:w="80" w:type="dxa"/>
            </w:tcMar>
            <w:vAlign w:val="center"/>
          </w:tcPr>
          <w:p>
            <w:pPr>
              <w:pStyle w:val="TableContents"/>
              <w:bidi w:val="0"/>
              <w:spacing w:before="0" w:after="283"/>
              <w:jc w:val="right"/>
              <w:rPr/>
            </w:pPr>
            <w:r>
              <w:rPr/>
              <w:t>20,699</w:t>
            </w:r>
          </w:p>
        </w:tc>
        <w:tc>
          <w:tcPr>
            <w:tcW w:w="61"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1" w:type="dxa"/>
            <w:tcBorders>
              <w:bottom w:val="single" w:sz="6" w:space="0" w:color="000000"/>
            </w:tcBorders>
            <w:tcMar>
              <w:bottom w:w="80" w:type="dxa"/>
            </w:tcMar>
            <w:vAlign w:val="center"/>
          </w:tcPr>
          <w:p>
            <w:pPr>
              <w:pStyle w:val="TableContents"/>
              <w:bidi w:val="0"/>
              <w:spacing w:before="0" w:after="283"/>
              <w:jc w:val="left"/>
              <w:rPr/>
            </w:pPr>
            <w:r>
              <w:rPr/>
              <w:t> </w:t>
            </w:r>
          </w:p>
        </w:tc>
        <w:tc>
          <w:tcPr>
            <w:tcW w:w="796" w:type="dxa"/>
            <w:tcBorders>
              <w:bottom w:val="single" w:sz="6" w:space="0" w:color="000000"/>
            </w:tcBorders>
            <w:tcMar>
              <w:bottom w:w="80" w:type="dxa"/>
            </w:tcMar>
            <w:vAlign w:val="center"/>
          </w:tcPr>
          <w:p>
            <w:pPr>
              <w:pStyle w:val="TableContents"/>
              <w:bidi w:val="0"/>
              <w:spacing w:before="0" w:after="283"/>
              <w:jc w:val="right"/>
              <w:rPr/>
            </w:pPr>
            <w:r>
              <w:rPr/>
              <w:t>–</w:t>
            </w:r>
          </w:p>
        </w:tc>
        <w:tc>
          <w:tcPr>
            <w:tcW w:w="13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 w:type="dxa"/>
            <w:tcBorders>
              <w:bottom w:val="single" w:sz="6" w:space="0" w:color="000000"/>
            </w:tcBorders>
            <w:tcMar>
              <w:bottom w:w="80" w:type="dxa"/>
            </w:tcMar>
            <w:vAlign w:val="center"/>
          </w:tcPr>
          <w:p>
            <w:pPr>
              <w:pStyle w:val="TableContents"/>
              <w:bidi w:val="0"/>
              <w:spacing w:before="0" w:after="283"/>
              <w:jc w:val="left"/>
              <w:rPr/>
            </w:pPr>
            <w:r>
              <w:rPr/>
              <w:t> </w:t>
            </w:r>
          </w:p>
        </w:tc>
        <w:tc>
          <w:tcPr>
            <w:tcW w:w="1698" w:type="dxa"/>
            <w:tcBorders>
              <w:bottom w:val="single" w:sz="6" w:space="0" w:color="000000"/>
            </w:tcBorders>
            <w:tcMar>
              <w:bottom w:w="80" w:type="dxa"/>
            </w:tcMar>
            <w:vAlign w:val="center"/>
          </w:tcPr>
          <w:p>
            <w:pPr>
              <w:pStyle w:val="TableContents"/>
              <w:bidi w:val="0"/>
              <w:spacing w:before="0" w:after="283"/>
              <w:jc w:val="right"/>
              <w:rPr/>
            </w:pPr>
            <w:r>
              <w:rPr/>
              <w:t>136,976</w:t>
            </w:r>
          </w:p>
        </w:tc>
        <w:tc>
          <w:tcPr>
            <w:tcW w:w="8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935" w:type="dxa"/>
            <w:tcBorders/>
            <w:shd w:fill="D5DBE3" w:val="clear"/>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2083" w:type="dxa"/>
            <w:gridSpan w:val="5"/>
            <w:tcBorders/>
            <w:vAlign w:val="center"/>
          </w:tcPr>
          <w:p>
            <w:pPr>
              <w:pStyle w:val="TableContents"/>
              <w:bidi w:val="0"/>
              <w:spacing w:before="0" w:after="283"/>
              <w:jc w:val="left"/>
              <w:rPr>
                <w:sz w:val="4"/>
                <w:szCs w:val="4"/>
              </w:rPr>
            </w:pPr>
            <w:r>
              <w:rPr>
                <w:sz w:val="4"/>
                <w:szCs w:val="4"/>
              </w:rPr>
            </w:r>
          </w:p>
        </w:tc>
        <w:tc>
          <w:tcPr>
            <w:tcW w:w="1423" w:type="dxa"/>
            <w:gridSpan w:val="5"/>
            <w:tcBorders/>
            <w:vAlign w:val="center"/>
          </w:tcPr>
          <w:p>
            <w:pPr>
              <w:pStyle w:val="TableContents"/>
              <w:bidi w:val="0"/>
              <w:spacing w:before="0" w:after="283"/>
              <w:jc w:val="left"/>
              <w:rPr>
                <w:sz w:val="4"/>
                <w:szCs w:val="4"/>
              </w:rPr>
            </w:pPr>
            <w:r>
              <w:rPr>
                <w:sz w:val="4"/>
                <w:szCs w:val="4"/>
              </w:rPr>
            </w:r>
          </w:p>
        </w:tc>
        <w:tc>
          <w:tcPr>
            <w:tcW w:w="1978" w:type="dxa"/>
            <w:gridSpan w:val="5"/>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W. Jeffrey Hire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000000"/>
            </w:tcBorders>
            <w:tcMar>
              <w:bottom w:w="80" w:type="dxa"/>
            </w:tcMar>
            <w:vAlign w:val="center"/>
          </w:tcPr>
          <w:p>
            <w:pPr>
              <w:pStyle w:val="TableContents"/>
              <w:bidi w:val="0"/>
              <w:spacing w:before="0" w:after="283"/>
              <w:jc w:val="left"/>
              <w:rPr/>
            </w:pPr>
            <w:r>
              <w:rPr/>
              <w:t> </w:t>
            </w:r>
          </w:p>
        </w:tc>
        <w:tc>
          <w:tcPr>
            <w:tcW w:w="1678" w:type="dxa"/>
            <w:tcBorders>
              <w:bottom w:val="single" w:sz="6" w:space="0" w:color="000000"/>
            </w:tcBorders>
            <w:tcMar>
              <w:bottom w:w="80" w:type="dxa"/>
            </w:tcMar>
            <w:vAlign w:val="center"/>
          </w:tcPr>
          <w:p>
            <w:pPr>
              <w:pStyle w:val="TableContents"/>
              <w:bidi w:val="0"/>
              <w:spacing w:before="0" w:after="283"/>
              <w:jc w:val="right"/>
              <w:rPr/>
            </w:pPr>
            <w:r>
              <w:rPr/>
              <w:t>–</w:t>
            </w:r>
          </w:p>
        </w:tc>
        <w:tc>
          <w:tcPr>
            <w:tcW w:w="58"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73"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pPr>
            <w:r>
              <w:rPr/>
              <w:t>–</w:t>
            </w:r>
          </w:p>
        </w:tc>
        <w:tc>
          <w:tcPr>
            <w:tcW w:w="18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000000"/>
            </w:tcBorders>
            <w:tcMar>
              <w:bottom w:w="80" w:type="dxa"/>
            </w:tcMar>
            <w:vAlign w:val="center"/>
          </w:tcPr>
          <w:p>
            <w:pPr>
              <w:pStyle w:val="TableContents"/>
              <w:bidi w:val="0"/>
              <w:spacing w:before="0" w:after="283"/>
              <w:jc w:val="left"/>
              <w:rPr/>
            </w:pPr>
            <w:r>
              <w:rPr/>
              <w:t> </w:t>
            </w:r>
          </w:p>
        </w:tc>
        <w:tc>
          <w:tcPr>
            <w:tcW w:w="1782" w:type="dxa"/>
            <w:tcBorders>
              <w:bottom w:val="single" w:sz="6" w:space="0" w:color="000000"/>
            </w:tcBorders>
            <w:tcMar>
              <w:bottom w:w="80" w:type="dxa"/>
            </w:tcMar>
            <w:vAlign w:val="center"/>
          </w:tcPr>
          <w:p>
            <w:pPr>
              <w:pStyle w:val="TableContents"/>
              <w:bidi w:val="0"/>
              <w:spacing w:before="0" w:after="283"/>
              <w:jc w:val="right"/>
              <w:rPr/>
            </w:pPr>
            <w:r>
              <w:rPr/>
              <w:t>–</w:t>
            </w:r>
          </w:p>
        </w:tc>
        <w:tc>
          <w:tcPr>
            <w:tcW w:w="61"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1" w:type="dxa"/>
            <w:tcBorders>
              <w:bottom w:val="single" w:sz="6" w:space="0" w:color="000000"/>
            </w:tcBorders>
            <w:tcMar>
              <w:bottom w:w="80" w:type="dxa"/>
            </w:tcMar>
            <w:vAlign w:val="center"/>
          </w:tcPr>
          <w:p>
            <w:pPr>
              <w:pStyle w:val="TableContents"/>
              <w:bidi w:val="0"/>
              <w:spacing w:before="0" w:after="283"/>
              <w:jc w:val="left"/>
              <w:rPr/>
            </w:pPr>
            <w:r>
              <w:rPr/>
              <w:t> </w:t>
            </w:r>
          </w:p>
        </w:tc>
        <w:tc>
          <w:tcPr>
            <w:tcW w:w="796" w:type="dxa"/>
            <w:tcBorders>
              <w:bottom w:val="single" w:sz="6" w:space="0" w:color="000000"/>
            </w:tcBorders>
            <w:tcMar>
              <w:bottom w:w="80" w:type="dxa"/>
            </w:tcMar>
            <w:vAlign w:val="center"/>
          </w:tcPr>
          <w:p>
            <w:pPr>
              <w:pStyle w:val="TableContents"/>
              <w:bidi w:val="0"/>
              <w:spacing w:before="0" w:after="283"/>
              <w:jc w:val="right"/>
              <w:rPr/>
            </w:pPr>
            <w:r>
              <w:rPr/>
              <w:t>–</w:t>
            </w:r>
          </w:p>
        </w:tc>
        <w:tc>
          <w:tcPr>
            <w:tcW w:w="13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 w:type="dxa"/>
            <w:tcBorders>
              <w:bottom w:val="single" w:sz="6" w:space="0" w:color="000000"/>
            </w:tcBorders>
            <w:tcMar>
              <w:bottom w:w="80" w:type="dxa"/>
            </w:tcMar>
            <w:vAlign w:val="center"/>
          </w:tcPr>
          <w:p>
            <w:pPr>
              <w:pStyle w:val="TableContents"/>
              <w:bidi w:val="0"/>
              <w:spacing w:before="0" w:after="283"/>
              <w:jc w:val="left"/>
              <w:rPr/>
            </w:pPr>
            <w:r>
              <w:rPr/>
              <w:t> </w:t>
            </w:r>
          </w:p>
        </w:tc>
        <w:tc>
          <w:tcPr>
            <w:tcW w:w="1698" w:type="dxa"/>
            <w:tcBorders>
              <w:bottom w:val="single" w:sz="6" w:space="0" w:color="000000"/>
            </w:tcBorders>
            <w:tcMar>
              <w:bottom w:w="80" w:type="dxa"/>
            </w:tcMar>
            <w:vAlign w:val="center"/>
          </w:tcPr>
          <w:p>
            <w:pPr>
              <w:pStyle w:val="TableContents"/>
              <w:bidi w:val="0"/>
              <w:spacing w:before="0" w:after="283"/>
              <w:jc w:val="right"/>
              <w:rPr/>
            </w:pPr>
            <w:r>
              <w:rPr/>
              <w:t>–</w:t>
            </w:r>
          </w:p>
        </w:tc>
        <w:tc>
          <w:tcPr>
            <w:tcW w:w="8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935" w:type="dxa"/>
            <w:tcBorders/>
            <w:shd w:fill="D5DBE3" w:val="clear"/>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2083" w:type="dxa"/>
            <w:gridSpan w:val="5"/>
            <w:tcBorders/>
            <w:vAlign w:val="center"/>
          </w:tcPr>
          <w:p>
            <w:pPr>
              <w:pStyle w:val="TableContents"/>
              <w:bidi w:val="0"/>
              <w:spacing w:before="0" w:after="283"/>
              <w:jc w:val="left"/>
              <w:rPr>
                <w:sz w:val="4"/>
                <w:szCs w:val="4"/>
              </w:rPr>
            </w:pPr>
            <w:r>
              <w:rPr>
                <w:sz w:val="4"/>
                <w:szCs w:val="4"/>
              </w:rPr>
            </w:r>
          </w:p>
        </w:tc>
        <w:tc>
          <w:tcPr>
            <w:tcW w:w="1423" w:type="dxa"/>
            <w:gridSpan w:val="5"/>
            <w:tcBorders/>
            <w:vAlign w:val="center"/>
          </w:tcPr>
          <w:p>
            <w:pPr>
              <w:pStyle w:val="TableContents"/>
              <w:bidi w:val="0"/>
              <w:spacing w:before="0" w:after="283"/>
              <w:jc w:val="left"/>
              <w:rPr>
                <w:sz w:val="4"/>
                <w:szCs w:val="4"/>
              </w:rPr>
            </w:pPr>
            <w:r>
              <w:rPr>
                <w:sz w:val="4"/>
                <w:szCs w:val="4"/>
              </w:rPr>
            </w:r>
          </w:p>
        </w:tc>
        <w:tc>
          <w:tcPr>
            <w:tcW w:w="1978" w:type="dxa"/>
            <w:gridSpan w:val="5"/>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12" w:space="0" w:color="1070B8"/>
            </w:tcBorders>
            <w:shd w:fill="D5DBE3" w:val="clear"/>
            <w:tcMar>
              <w:bottom w:w="100" w:type="dxa"/>
            </w:tcMar>
            <w:vAlign w:val="center"/>
          </w:tcPr>
          <w:p>
            <w:pPr>
              <w:pStyle w:val="TableContents"/>
              <w:bidi w:val="0"/>
              <w:spacing w:before="0" w:after="0"/>
              <w:jc w:val="left"/>
              <w:rPr/>
            </w:pPr>
            <w:r>
              <w:rPr/>
              <w:t> </w:t>
            </w:r>
            <w:r>
              <w:rPr>
                <w:rFonts w:ascii="arial" w:hAnsi="arial"/>
                <w:sz w:val="20"/>
              </w:rPr>
              <w:t>Jason R. Niswonger</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12" w:space="0" w:color="1070B8"/>
            </w:tcBorders>
            <w:tcMar>
              <w:bottom w:w="100" w:type="dxa"/>
            </w:tcMar>
            <w:vAlign w:val="center"/>
          </w:tcPr>
          <w:p>
            <w:pPr>
              <w:pStyle w:val="TableContents"/>
              <w:bidi w:val="0"/>
              <w:spacing w:before="0" w:after="283"/>
              <w:jc w:val="left"/>
              <w:rPr/>
            </w:pPr>
            <w:r>
              <w:rPr/>
              <w:t> </w:t>
            </w:r>
          </w:p>
        </w:tc>
        <w:tc>
          <w:tcPr>
            <w:tcW w:w="1678" w:type="dxa"/>
            <w:tcBorders>
              <w:bottom w:val="single" w:sz="12" w:space="0" w:color="1070B8"/>
            </w:tcBorders>
            <w:tcMar>
              <w:bottom w:w="100" w:type="dxa"/>
            </w:tcMar>
            <w:vAlign w:val="center"/>
          </w:tcPr>
          <w:p>
            <w:pPr>
              <w:pStyle w:val="TableContents"/>
              <w:bidi w:val="0"/>
              <w:spacing w:before="0" w:after="283"/>
              <w:jc w:val="right"/>
              <w:rPr/>
            </w:pPr>
            <w:r>
              <w:rPr/>
              <w:t>45,234</w:t>
            </w:r>
          </w:p>
        </w:tc>
        <w:tc>
          <w:tcPr>
            <w:tcW w:w="58" w:type="dxa"/>
            <w:tcBorders>
              <w:bottom w:val="single" w:sz="12" w:space="0" w:color="1070B8"/>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81"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473" w:type="dxa"/>
            <w:tcBorders>
              <w:bottom w:val="single" w:sz="12" w:space="0" w:color="1070B8"/>
            </w:tcBorders>
            <w:tcMar>
              <w:bottom w:w="100" w:type="dxa"/>
            </w:tcMar>
            <w:vAlign w:val="center"/>
          </w:tcPr>
          <w:p>
            <w:pPr>
              <w:pStyle w:val="TableContents"/>
              <w:bidi w:val="0"/>
              <w:spacing w:before="0" w:after="283"/>
              <w:jc w:val="left"/>
              <w:rPr/>
            </w:pPr>
            <w:r>
              <w:rPr/>
              <w:t> </w:t>
            </w:r>
          </w:p>
        </w:tc>
        <w:tc>
          <w:tcPr>
            <w:tcW w:w="1104" w:type="dxa"/>
            <w:tcBorders>
              <w:bottom w:val="single" w:sz="12" w:space="0" w:color="1070B8"/>
            </w:tcBorders>
            <w:tcMar>
              <w:bottom w:w="100" w:type="dxa"/>
            </w:tcMar>
            <w:vAlign w:val="center"/>
          </w:tcPr>
          <w:p>
            <w:pPr>
              <w:pStyle w:val="TableContents"/>
              <w:bidi w:val="0"/>
              <w:spacing w:before="0" w:after="283"/>
              <w:jc w:val="right"/>
              <w:rPr/>
            </w:pPr>
            <w:r>
              <w:rPr/>
              <w:t>–</w:t>
            </w:r>
          </w:p>
        </w:tc>
        <w:tc>
          <w:tcPr>
            <w:tcW w:w="182" w:type="dxa"/>
            <w:tcBorders>
              <w:bottom w:val="single" w:sz="12" w:space="0" w:color="1070B8"/>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57" w:type="dxa"/>
            <w:tcBorders>
              <w:bottom w:val="single" w:sz="12" w:space="0" w:color="1070B8"/>
            </w:tcBorders>
            <w:tcMar>
              <w:bottom w:w="100" w:type="dxa"/>
            </w:tcMar>
            <w:vAlign w:val="center"/>
          </w:tcPr>
          <w:p>
            <w:pPr>
              <w:pStyle w:val="TableContents"/>
              <w:bidi w:val="0"/>
              <w:spacing w:before="0" w:after="283"/>
              <w:jc w:val="left"/>
              <w:rPr/>
            </w:pPr>
            <w:r>
              <w:rPr/>
              <w:t> </w:t>
            </w:r>
          </w:p>
        </w:tc>
        <w:tc>
          <w:tcPr>
            <w:tcW w:w="1782" w:type="dxa"/>
            <w:tcBorders>
              <w:bottom w:val="single" w:sz="12" w:space="0" w:color="1070B8"/>
            </w:tcBorders>
            <w:tcMar>
              <w:bottom w:w="100" w:type="dxa"/>
            </w:tcMar>
            <w:vAlign w:val="center"/>
          </w:tcPr>
          <w:p>
            <w:pPr>
              <w:pStyle w:val="TableContents"/>
              <w:bidi w:val="0"/>
              <w:spacing w:before="0" w:after="283"/>
              <w:jc w:val="right"/>
              <w:rPr/>
            </w:pPr>
            <w:r>
              <w:rPr/>
              <w:t>16,049</w:t>
            </w:r>
          </w:p>
        </w:tc>
        <w:tc>
          <w:tcPr>
            <w:tcW w:w="61" w:type="dxa"/>
            <w:tcBorders>
              <w:bottom w:val="single" w:sz="12" w:space="0" w:color="1070B8"/>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341" w:type="dxa"/>
            <w:tcBorders>
              <w:bottom w:val="single" w:sz="12" w:space="0" w:color="1070B8"/>
            </w:tcBorders>
            <w:tcMar>
              <w:bottom w:w="100" w:type="dxa"/>
            </w:tcMar>
            <w:vAlign w:val="center"/>
          </w:tcPr>
          <w:p>
            <w:pPr>
              <w:pStyle w:val="TableContents"/>
              <w:bidi w:val="0"/>
              <w:spacing w:before="0" w:after="283"/>
              <w:jc w:val="left"/>
              <w:rPr/>
            </w:pPr>
            <w:r>
              <w:rPr/>
              <w:t> </w:t>
            </w:r>
          </w:p>
        </w:tc>
        <w:tc>
          <w:tcPr>
            <w:tcW w:w="796" w:type="dxa"/>
            <w:tcBorders>
              <w:bottom w:val="single" w:sz="12" w:space="0" w:color="1070B8"/>
            </w:tcBorders>
            <w:tcMar>
              <w:bottom w:w="100" w:type="dxa"/>
            </w:tcMar>
            <w:vAlign w:val="center"/>
          </w:tcPr>
          <w:p>
            <w:pPr>
              <w:pStyle w:val="TableContents"/>
              <w:bidi w:val="0"/>
              <w:spacing w:before="0" w:after="283"/>
              <w:jc w:val="right"/>
              <w:rPr/>
            </w:pPr>
            <w:r>
              <w:rPr/>
              <w:t>–</w:t>
            </w:r>
          </w:p>
        </w:tc>
        <w:tc>
          <w:tcPr>
            <w:tcW w:w="133" w:type="dxa"/>
            <w:tcBorders>
              <w:bottom w:val="single" w:sz="12" w:space="0" w:color="1070B8"/>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27" w:type="dxa"/>
            <w:tcBorders>
              <w:bottom w:val="single" w:sz="12" w:space="0" w:color="1070B8"/>
            </w:tcBorders>
            <w:tcMar>
              <w:bottom w:w="100" w:type="dxa"/>
            </w:tcMar>
            <w:vAlign w:val="center"/>
          </w:tcPr>
          <w:p>
            <w:pPr>
              <w:pStyle w:val="TableContents"/>
              <w:bidi w:val="0"/>
              <w:spacing w:before="0" w:after="283"/>
              <w:jc w:val="left"/>
              <w:rPr/>
            </w:pPr>
            <w:r>
              <w:rPr/>
              <w:t> </w:t>
            </w:r>
          </w:p>
        </w:tc>
        <w:tc>
          <w:tcPr>
            <w:tcW w:w="1698" w:type="dxa"/>
            <w:tcBorders>
              <w:bottom w:val="single" w:sz="12" w:space="0" w:color="1070B8"/>
            </w:tcBorders>
            <w:tcMar>
              <w:bottom w:w="100" w:type="dxa"/>
            </w:tcMar>
            <w:vAlign w:val="center"/>
          </w:tcPr>
          <w:p>
            <w:pPr>
              <w:pStyle w:val="TableContents"/>
              <w:bidi w:val="0"/>
              <w:spacing w:before="0" w:after="283"/>
              <w:jc w:val="right"/>
              <w:rPr/>
            </w:pPr>
            <w:r>
              <w:rPr/>
              <w:t>206,752</w:t>
            </w:r>
          </w:p>
        </w:tc>
        <w:tc>
          <w:tcPr>
            <w:tcW w:w="82" w:type="dxa"/>
            <w:tcBorders>
              <w:bottom w:val="single" w:sz="12" w:space="0" w:color="1070B8"/>
            </w:tcBorders>
            <w:tcMar>
              <w:bottom w:w="10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20"/>
        </w:rPr>
      </w:pPr>
      <w:r>
        <w:rPr>
          <w:rFonts w:ascii="arial" w:hAnsi="arial"/>
          <w:sz w:val="20"/>
        </w:rPr>
        <w:t xml:space="preserve">(1) Mr. Wheeler’s and Mr. Niswonger’s contributions of $48,904 and $45,234 respectively, are included in the “Base Salary” column of the </w:t>
      </w:r>
      <w:r>
        <w:rPr>
          <w:rFonts w:ascii="arial" w:hAnsi="arial"/>
          <w:i/>
          <w:sz w:val="20"/>
        </w:rPr>
        <w:t>Summary Compensation Table</w:t>
      </w:r>
      <w:r>
        <w:rPr>
          <w:rFonts w:ascii="arial" w:hAnsi="arial"/>
          <w:sz w:val="20"/>
        </w:rPr>
        <w:t xml:space="preserve">. </w:t>
      </w:r>
    </w:p>
    <w:p>
      <w:pPr>
        <w:pStyle w:val="TextBody"/>
        <w:bidi w:val="0"/>
        <w:spacing w:before="360" w:after="0"/>
        <w:jc w:val="left"/>
        <w:rPr>
          <w:rFonts w:ascii="arial" w:hAnsi="arial"/>
          <w:b/>
          <w:color w:val="1F295C"/>
          <w:sz w:val="24"/>
        </w:rPr>
      </w:pPr>
      <w:bookmarkStart w:id="100" w:name="toc849638_69"/>
      <w:bookmarkEnd w:id="100"/>
      <w:r>
        <w:rPr>
          <w:rFonts w:ascii="arial" w:hAnsi="arial"/>
          <w:b/>
          <w:color w:val="1F295C"/>
          <w:sz w:val="24"/>
        </w:rPr>
        <w:t xml:space="preserve">Employment Agreements, Severance and Change in Control Benefits </w:t>
      </w:r>
    </w:p>
    <w:p>
      <w:pPr>
        <w:pStyle w:val="TextBody"/>
        <w:bidi w:val="0"/>
        <w:spacing w:before="240" w:after="0"/>
        <w:jc w:val="left"/>
        <w:rPr>
          <w:rFonts w:ascii="arial" w:hAnsi="arial"/>
          <w:color w:val="1070B8"/>
          <w:sz w:val="22"/>
        </w:rPr>
      </w:pPr>
      <w:r>
        <w:rPr>
          <w:rFonts w:ascii="arial" w:hAnsi="arial"/>
          <w:color w:val="1070B8"/>
          <w:sz w:val="22"/>
        </w:rPr>
        <w:t xml:space="preserve">Employment Agreement with Jeffrey W. Edwards </w:t>
      </w:r>
    </w:p>
    <w:p>
      <w:pPr>
        <w:pStyle w:val="TextBody"/>
        <w:bidi w:val="0"/>
        <w:spacing w:before="240" w:after="0"/>
        <w:jc w:val="left"/>
        <w:rPr>
          <w:rFonts w:ascii="arial" w:hAnsi="arial"/>
          <w:sz w:val="20"/>
        </w:rPr>
      </w:pPr>
      <w:r>
        <w:rPr>
          <w:rFonts w:ascii="arial" w:hAnsi="arial"/>
          <w:sz w:val="20"/>
        </w:rPr>
        <w:t xml:space="preserve">In November 2013, we entered into an employment agreement with Mr. Edwards pursuant to which he agreed to serve as our Chief Executive Officer and President for an initial employment term through November 1, 2016. The agreement provides Mr. Edwards with a minimum annual base salary of $600,000, subject to adjustment by the CHC Committee, and an opportunity to participate in our annual incentive programs, as well as our employee benefit plans and programs in effect from time to time. </w:t>
      </w:r>
    </w:p>
    <w:p>
      <w:pPr>
        <w:pStyle w:val="TextBody"/>
        <w:bidi w:val="0"/>
        <w:spacing w:before="240" w:after="0"/>
        <w:jc w:val="left"/>
        <w:rPr>
          <w:rFonts w:ascii="arial" w:hAnsi="arial"/>
          <w:sz w:val="20"/>
        </w:rPr>
      </w:pPr>
      <w:r>
        <w:rPr>
          <w:rFonts w:ascii="arial" w:hAnsi="arial"/>
          <w:sz w:val="20"/>
        </w:rPr>
        <w:t xml:space="preserve">The agreement has been amended and restated, most recently in May 2023, to extend Mr. Edwards’ employment term to April 15, 2026 with automatic five-year renewals unless either party provides at least 90 days’ prior notice of non-renewal, to provide that Mr. Edwards must give 180 days’ prior written notice of a voluntary termination of employment without “Good Reason” (as defined in the employment agreement), to provide for a reduction in severance payments that would exceed tax laws governing parachute payments and to modify certain of Mr. Edwards’ severance payments. </w:t>
      </w:r>
    </w:p>
    <w:p>
      <w:pPr>
        <w:pStyle w:val="TextBody"/>
        <w:bidi w:val="0"/>
        <w:spacing w:before="240" w:after="0"/>
        <w:jc w:val="left"/>
        <w:rPr>
          <w:rFonts w:ascii="arial" w:hAnsi="arial"/>
          <w:sz w:val="20"/>
        </w:rPr>
      </w:pPr>
      <w:r>
        <w:rPr>
          <w:rFonts w:ascii="arial" w:hAnsi="arial"/>
          <w:sz w:val="20"/>
        </w:rPr>
        <w:t xml:space="preserve">Mr. Edwards is required to devote the amount of his business time necessary to conduct Company business and affairs and to use his best efforts to perform his duties as our Chief Executive Officer and President. However, to the extent such activities do not create a conflict of interest or substantially interfere with the performance of Mr. Edwards’ duties and responsibilities to the Company, he may (i) manage his personal and family financial and legal affairs, (ii) participate in charitable, civic, educational, professional, community and industry affairs (including serving on boards or committees of such entities, including the Salvation Army and the Columbus Museum of Art) and (iii) continue to engage in non-competitive operational activities for a real estate development business in which he participated prior to entering into his employment agreement. </w:t>
      </w:r>
    </w:p>
    <w:p>
      <w:pPr>
        <w:pStyle w:val="TextBody"/>
        <w:bidi w:val="0"/>
        <w:spacing w:before="240" w:after="0"/>
        <w:jc w:val="left"/>
        <w:rPr>
          <w:rFonts w:ascii="arial" w:hAnsi="arial"/>
          <w:sz w:val="20"/>
        </w:rPr>
      </w:pPr>
      <w:r>
        <w:rPr>
          <w:rFonts w:ascii="arial" w:hAnsi="arial"/>
          <w:sz w:val="20"/>
        </w:rPr>
        <w:t>Mr. Edwards is entitled to receive certain severance benefits in the event of termination of his employment by us without “Cause” or if Mr. Edwards terminates his employment for “Good Reason,” in each case as defined in the employment agreement. See “</w:t>
      </w:r>
      <w:r>
        <w:rPr>
          <w:rFonts w:ascii="arial" w:hAnsi="arial"/>
          <w:i/>
          <w:sz w:val="20"/>
        </w:rPr>
        <w:t>Potential Payments Upon Termination or Change in Control</w:t>
      </w:r>
      <w:r>
        <w:rPr>
          <w:rFonts w:ascii="arial" w:hAnsi="arial"/>
          <w:sz w:val="20"/>
        </w:rPr>
        <w:t xml:space="preserve">” below for a summary of these severance benefits. In the event of Mr. Edwards’ termination for any reason, we are required to pay him for his accrued and unpaid vacation as of the date of termination. </w:t>
      </w:r>
    </w:p>
    <w:p>
      <w:pPr>
        <w:pStyle w:val="TextBody"/>
        <w:bidi w:val="0"/>
        <w:spacing w:before="240" w:after="0"/>
        <w:jc w:val="left"/>
        <w:rPr>
          <w:rFonts w:ascii="arial" w:hAnsi="arial"/>
          <w:sz w:val="20"/>
        </w:rPr>
      </w:pPr>
      <w:r>
        <w:rPr>
          <w:rFonts w:ascii="arial" w:hAnsi="arial"/>
          <w:sz w:val="20"/>
        </w:rPr>
        <w:t xml:space="preserve">While employed and for two years after termination of his employment, Mr. Edwards is subject to non-competition, customer and employee non-solicitation as well as confidentiality restrictions that last during his employment and thereafter. </w:t>
      </w:r>
    </w:p>
    <w:p>
      <w:pPr>
        <w:pStyle w:val="TextBody"/>
        <w:bidi w:val="0"/>
        <w:spacing w:before="240" w:after="0"/>
        <w:jc w:val="left"/>
        <w:rPr>
          <w:rFonts w:ascii="arial" w:hAnsi="arial"/>
          <w:color w:val="1070B8"/>
          <w:sz w:val="22"/>
        </w:rPr>
      </w:pPr>
      <w:r>
        <w:rPr>
          <w:rFonts w:ascii="arial" w:hAnsi="arial"/>
          <w:color w:val="1070B8"/>
          <w:sz w:val="22"/>
        </w:rPr>
        <w:t xml:space="preserve">Potential Payments Upon Termination or Change in Control </w:t>
      </w:r>
    </w:p>
    <w:p>
      <w:pPr>
        <w:pStyle w:val="TextBody"/>
        <w:bidi w:val="0"/>
        <w:spacing w:before="240" w:after="0"/>
        <w:jc w:val="left"/>
        <w:rPr>
          <w:rFonts w:ascii="arial" w:hAnsi="arial"/>
          <w:sz w:val="20"/>
        </w:rPr>
      </w:pPr>
      <w:r>
        <w:rPr>
          <w:rFonts w:ascii="arial" w:hAnsi="arial"/>
          <w:sz w:val="20"/>
        </w:rPr>
        <w:t xml:space="preserve">None of our named executive officers other than Mr. Edwards are entitled to benefits (other than vested benefits and awards) upon a resignation, termination or a change in control, except that if an NEO’s employment is terminated due to retirement or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Executive Compensation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disability, the CHC Committee may, in the exercise of its discretion, accelerate vesting of restricted stock awards and waive any limitations placed on performance-based cash awards. If an NEO’s employment is terminated due to the executive’s death, all earned but unvested restricted stock awards automatically vest in full. Our 2023 Omnibus Incentive Plan does not provide for automatic acceleration of vesting of any incentive-based awards in the event of a change in control without another qualifying event. </w:t>
      </w:r>
    </w:p>
    <w:p>
      <w:pPr>
        <w:pStyle w:val="TextBody"/>
        <w:bidi w:val="0"/>
        <w:spacing w:before="240" w:after="0"/>
        <w:jc w:val="left"/>
        <w:rPr>
          <w:rFonts w:ascii="arial" w:hAnsi="arial"/>
          <w:sz w:val="20"/>
        </w:rPr>
      </w:pPr>
      <w:r>
        <w:rPr>
          <w:rFonts w:ascii="arial" w:hAnsi="arial"/>
          <w:sz w:val="20"/>
        </w:rPr>
        <w:t xml:space="preserve">In the event of a “change in control” (as defined in our 2023 Omnibus Incentive Plan), the CHC Committee may cause any unvested shares of restricted stock to be continued or assumed, to have new rights substituted therefor, to entitle the NEOs to receive the same distribution as other shares of common stock in the change in control transaction or to be cancelled in exchange for cash. The committee may also accelerate vesting in connection with a change in control. If a named executive officer engages in a “detrimental activity” (as defined in the 2023 Omnibus Incentive Plan), prior to or one year following vesting of any restricted stock, the CHC Committee may direct that all unvested restricted stock be forfeited and that the executive pay to the Company the fair market value of vested restricted stock (valued as of the vesting date). </w:t>
      </w:r>
    </w:p>
    <w:p>
      <w:pPr>
        <w:pStyle w:val="TextBody"/>
        <w:bidi w:val="0"/>
        <w:spacing w:before="240" w:after="0"/>
        <w:jc w:val="left"/>
        <w:rPr>
          <w:rFonts w:ascii="arial" w:hAnsi="arial"/>
          <w:color w:val="1070B8"/>
          <w:sz w:val="22"/>
        </w:rPr>
      </w:pPr>
      <w:r>
        <w:rPr>
          <w:rFonts w:ascii="arial" w:hAnsi="arial"/>
          <w:color w:val="1070B8"/>
          <w:sz w:val="22"/>
        </w:rPr>
        <w:t xml:space="preserve">Payments to Mr. Edwards upon Termination without Cause or Resignation for Good Reason </w:t>
      </w:r>
    </w:p>
    <w:p>
      <w:pPr>
        <w:pStyle w:val="TextBody"/>
        <w:bidi w:val="0"/>
        <w:spacing w:before="240" w:after="0"/>
        <w:jc w:val="left"/>
        <w:rPr>
          <w:rFonts w:ascii="arial" w:hAnsi="arial"/>
          <w:sz w:val="20"/>
        </w:rPr>
      </w:pPr>
      <w:r>
        <w:rPr>
          <w:rFonts w:ascii="arial" w:hAnsi="arial"/>
          <w:sz w:val="20"/>
        </w:rPr>
        <w:t xml:space="preserve">If we terminate Mr. Edwards without Cause or Mr. Edwards terminates his employment for Good Reason, then subject to his compliance with certain restrictive covenants and upon his signing a release of claims, we are required to pay Mr. Edwards (i) base salary continuation payments for 18 months; (ii) any earned but unpaid or unissued annual incentive cash bonus or restricted stock award with respect to the performance year prior to the year of termination; and (iii) a lump sum cash payment equal to 1.5 times the dollar value of the total target incentive cash award (“Target Cash Award”) established by the CHC Committee for the year of termination. If termination occurs within two years following a change in control (other than as a result of a sale of all of Mr. Edwards’ equity interests in the Company), then Mr. Edwards is entitled to receive the severance benefits described in the foregoing sentence, except that base salary continuation payments will be made for 24 months and the lump sum cash payment is 2.0 times the Target Cash Award. </w:t>
      </w:r>
    </w:p>
    <w:p>
      <w:pPr>
        <w:pStyle w:val="TextBody"/>
        <w:bidi w:val="0"/>
        <w:spacing w:before="240" w:after="0"/>
        <w:jc w:val="left"/>
        <w:rPr/>
      </w:pPr>
      <w:r>
        <w:rPr/>
        <w:t>“</w:t>
      </w:r>
      <w:r>
        <w:rPr>
          <w:rFonts w:ascii="arial" w:hAnsi="arial"/>
          <w:sz w:val="20"/>
        </w:rPr>
        <w:t xml:space="preserve">Cause” generally means: (i) conviction of or a plea of guilty to a felony; (ii) willful commission of an act of fraud, dishonesty or other willful misconduct in the course of Mr. Edwards’ duties having a significant adverse effect on the Company; (iii) willful failure to perform prescribed duties after the Company has delivered a written demand for performance; or (iv) any material breach by Mr. Edwards of the employment agreement that remains uncured for 30 days. </w:t>
      </w:r>
    </w:p>
    <w:p>
      <w:pPr>
        <w:pStyle w:val="TextBody"/>
        <w:bidi w:val="0"/>
        <w:spacing w:before="240" w:after="0"/>
        <w:jc w:val="left"/>
        <w:rPr/>
      </w:pPr>
      <w:r>
        <w:rPr/>
        <w:t>“</w:t>
      </w:r>
      <w:r>
        <w:rPr>
          <w:rFonts w:ascii="arial" w:hAnsi="arial"/>
          <w:sz w:val="20"/>
        </w:rPr>
        <w:t xml:space="preserve">Good Reason” generally means any of the following events with respect to Mr. Edwards occurring without his consent: (i) a material diminution in base salary; (ii) a material diminution in duties, authorities or responsibilities; (iii) a relocation of a primary work location by more than 50 miles; or (iv) any material breach by the Company of the employment agreement. </w:t>
      </w:r>
    </w:p>
    <w:p>
      <w:pPr>
        <w:pStyle w:val="TextBody"/>
        <w:bidi w:val="0"/>
        <w:spacing w:before="240" w:after="0"/>
        <w:jc w:val="left"/>
        <w:rPr>
          <w:rFonts w:ascii="arial" w:hAnsi="arial"/>
          <w:sz w:val="20"/>
        </w:rPr>
      </w:pPr>
      <w:r>
        <w:rPr>
          <w:rFonts w:ascii="arial" w:hAnsi="arial"/>
          <w:sz w:val="20"/>
        </w:rPr>
        <w:t xml:space="preserve">The following table shows the value of the termination payments Mr. Edwards would receive if (i) we terminated him without Cause or he terminated his employment for Good Reason, and (ii) we terminated him without Cause or he terminated his employment for Good Reason following a change in control, in each case on December 31, 2024, excluding distributions under our 401(k) plan and any additional benefits generally available to our salaried employees. </w:t>
      </w:r>
    </w:p>
    <w:p>
      <w:pPr>
        <w:pStyle w:val="TextBody"/>
        <w:bidi w:val="0"/>
        <w:spacing w:before="0" w:after="0"/>
        <w:jc w:val="left"/>
        <w:rPr/>
      </w:pPr>
      <w:r>
        <w:rPr/>
        <w:t> </w:t>
      </w:r>
    </w:p>
    <w:tbl>
      <w:tblPr>
        <w:tblW w:w="8491" w:type="dxa"/>
        <w:jc w:val="left"/>
        <w:tblInd w:w="0" w:type="dxa"/>
        <w:tblLayout w:type="fixed"/>
        <w:tblCellMar>
          <w:top w:w="0" w:type="dxa"/>
          <w:left w:w="0" w:type="dxa"/>
          <w:bottom w:w="0" w:type="dxa"/>
          <w:right w:w="0" w:type="dxa"/>
        </w:tblCellMar>
      </w:tblPr>
      <w:tblGrid>
        <w:gridCol w:w="2240"/>
        <w:gridCol w:w="23"/>
        <w:gridCol w:w="51"/>
        <w:gridCol w:w="135"/>
        <w:gridCol w:w="2210"/>
        <w:gridCol w:w="54"/>
        <w:gridCol w:w="23"/>
        <w:gridCol w:w="78"/>
        <w:gridCol w:w="204"/>
        <w:gridCol w:w="3342"/>
        <w:gridCol w:w="131"/>
      </w:tblGrid>
      <w:tr>
        <w:trPr/>
        <w:tc>
          <w:tcPr>
            <w:tcW w:w="22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2473" w:type="dxa"/>
            <w:gridSpan w:val="5"/>
            <w:tcBorders/>
            <w:vAlign w:val="center"/>
          </w:tcPr>
          <w:p>
            <w:pPr>
              <w:pStyle w:val="TableContents"/>
              <w:bidi w:val="0"/>
              <w:spacing w:before="0" w:after="283"/>
              <w:jc w:val="left"/>
              <w:rPr>
                <w:sz w:val="4"/>
                <w:szCs w:val="4"/>
              </w:rPr>
            </w:pPr>
            <w:r>
              <w:rPr>
                <w:sz w:val="4"/>
                <w:szCs w:val="4"/>
              </w:rPr>
            </w:r>
          </w:p>
        </w:tc>
        <w:tc>
          <w:tcPr>
            <w:tcW w:w="3778"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12" w:space="0" w:color="1070B8"/>
            </w:tcBorders>
            <w:tcMar>
              <w:bottom w:w="28" w:type="dxa"/>
            </w:tcMar>
            <w:vAlign w:val="center"/>
          </w:tcPr>
          <w:p>
            <w:pPr>
              <w:pStyle w:val="TableContents"/>
              <w:bidi w:val="0"/>
              <w:spacing w:before="0" w:after="283"/>
              <w:jc w:val="left"/>
              <w:rPr/>
            </w:pPr>
            <w:r>
              <w:rPr/>
              <w:t> </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450" w:type="dxa"/>
            <w:gridSpan w:val="4"/>
            <w:tcBorders>
              <w:bottom w:val="single" w:sz="12" w:space="0" w:color="1070B8"/>
            </w:tcBorders>
            <w:tcMar>
              <w:bottom w:w="80" w:type="dxa"/>
            </w:tcMar>
            <w:vAlign w:val="center"/>
          </w:tcPr>
          <w:p>
            <w:pPr>
              <w:pStyle w:val="TableContents"/>
              <w:bidi w:val="0"/>
              <w:spacing w:before="0" w:after="0"/>
              <w:jc w:val="center"/>
              <w:rPr>
                <w:rFonts w:ascii="arial" w:hAnsi="arial"/>
                <w:b/>
                <w:color w:val="1F295C"/>
                <w:sz w:val="18"/>
              </w:rPr>
            </w:pPr>
            <w:r>
              <w:rPr>
                <w:rFonts w:ascii="arial" w:hAnsi="arial"/>
                <w:b/>
                <w:color w:val="1F295C"/>
                <w:sz w:val="18"/>
              </w:rPr>
              <w:t>Termination Without Case or</w:t>
              <w:br/>
              <w:t>for Good Reason</w:t>
            </w:r>
          </w:p>
          <w:p>
            <w:pPr>
              <w:pStyle w:val="TableContents"/>
              <w:bidi w:val="0"/>
              <w:spacing w:before="0" w:after="20"/>
              <w:jc w:val="center"/>
              <w:rPr>
                <w:rFonts w:ascii="arial" w:hAnsi="arial"/>
                <w:b/>
                <w:color w:val="1F295C"/>
                <w:sz w:val="18"/>
              </w:rPr>
            </w:pPr>
            <w:r>
              <w:rPr>
                <w:rFonts w:ascii="arial" w:hAnsi="arial"/>
                <w:b/>
                <w:color w:val="1F295C"/>
                <w:sz w:val="18"/>
              </w:rPr>
              <w:t>($)</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3755" w:type="dxa"/>
            <w:gridSpan w:val="4"/>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Termination Without Cause or</w:t>
              <w:br/>
              <w:t>for Good Reason in Connection with</w:t>
              <w:br/>
              <w:t>Change in Control</w:t>
              <w:br/>
              <w:t>($)</w:t>
            </w:r>
          </w:p>
        </w:tc>
      </w:tr>
      <w:tr>
        <w:trPr/>
        <w:tc>
          <w:tcPr>
            <w:tcW w:w="2240" w:type="dxa"/>
            <w:tcBorders/>
            <w:shd w:fill="D5DBE3" w:val="clear"/>
            <w:vAlign w:val="center"/>
          </w:tcPr>
          <w:p>
            <w:pPr>
              <w:pStyle w:val="TableContents"/>
              <w:bidi w:val="0"/>
              <w:spacing w:before="0" w:after="283"/>
              <w:jc w:val="left"/>
              <w:rPr>
                <w:sz w:val="4"/>
                <w:szCs w:val="4"/>
              </w:rPr>
            </w:pPr>
            <w:r>
              <w:rPr>
                <w:sz w:val="4"/>
                <w:szCs w:val="4"/>
              </w:rPr>
            </w:r>
          </w:p>
        </w:tc>
        <w:tc>
          <w:tcPr>
            <w:tcW w:w="2473" w:type="dxa"/>
            <w:gridSpan w:val="5"/>
            <w:tcBorders/>
            <w:vAlign w:val="center"/>
          </w:tcPr>
          <w:p>
            <w:pPr>
              <w:pStyle w:val="TableContents"/>
              <w:bidi w:val="0"/>
              <w:spacing w:before="0" w:after="283"/>
              <w:jc w:val="left"/>
              <w:rPr>
                <w:sz w:val="4"/>
                <w:szCs w:val="4"/>
              </w:rPr>
            </w:pPr>
            <w:r>
              <w:rPr>
                <w:sz w:val="4"/>
                <w:szCs w:val="4"/>
              </w:rPr>
            </w:r>
          </w:p>
        </w:tc>
        <w:tc>
          <w:tcPr>
            <w:tcW w:w="3778"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shd w:fill="D5DBE3" w:val="clear"/>
            <w:vAlign w:val="center"/>
          </w:tcPr>
          <w:p>
            <w:pPr>
              <w:pStyle w:val="TableContents"/>
              <w:bidi w:val="0"/>
              <w:spacing w:before="0" w:after="0"/>
              <w:jc w:val="left"/>
              <w:rPr/>
            </w:pPr>
            <w:r>
              <w:rPr/>
              <w:t> </w:t>
            </w:r>
            <w:r>
              <w:rPr>
                <w:rFonts w:ascii="arial" w:hAnsi="arial"/>
                <w:sz w:val="20"/>
              </w:rPr>
              <w:t>Jeffrey W. Edwards</w:t>
            </w:r>
          </w:p>
        </w:tc>
        <w:tc>
          <w:tcPr>
            <w:tcW w:w="23"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2473" w:type="dxa"/>
            <w:gridSpan w:val="5"/>
            <w:tcBorders/>
            <w:vAlign w:val="center"/>
          </w:tcPr>
          <w:p>
            <w:pPr>
              <w:pStyle w:val="TableContents"/>
              <w:bidi w:val="0"/>
              <w:spacing w:before="0" w:after="283"/>
              <w:jc w:val="left"/>
              <w:rPr>
                <w:sz w:val="4"/>
                <w:szCs w:val="4"/>
              </w:rPr>
            </w:pPr>
            <w:r>
              <w:rPr>
                <w:sz w:val="4"/>
                <w:szCs w:val="4"/>
              </w:rPr>
            </w:r>
          </w:p>
        </w:tc>
        <w:tc>
          <w:tcPr>
            <w:tcW w:w="3778"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0"/>
              <w:jc w:val="left"/>
              <w:rPr>
                <w:rFonts w:ascii="arial" w:hAnsi="arial"/>
                <w:sz w:val="20"/>
              </w:rPr>
            </w:pPr>
            <w:r>
              <w:rPr>
                <w:rFonts w:ascii="arial" w:hAnsi="arial"/>
                <w:sz w:val="20"/>
              </w:rPr>
              <w:t>Base Salary Continuation</w:t>
            </w:r>
          </w:p>
        </w:tc>
        <w:tc>
          <w:tcPr>
            <w:tcW w:w="23"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right"/>
              <w:rPr/>
            </w:pPr>
            <w:r>
              <w:rPr/>
              <w:t>1,350,000</w:t>
            </w:r>
          </w:p>
        </w:tc>
        <w:tc>
          <w:tcPr>
            <w:tcW w:w="5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 </w:t>
            </w:r>
          </w:p>
        </w:tc>
        <w:tc>
          <w:tcPr>
            <w:tcW w:w="3342" w:type="dxa"/>
            <w:tcBorders/>
            <w:vAlign w:val="center"/>
          </w:tcPr>
          <w:p>
            <w:pPr>
              <w:pStyle w:val="TableContents"/>
              <w:bidi w:val="0"/>
              <w:spacing w:before="0" w:after="283"/>
              <w:jc w:val="right"/>
              <w:rPr/>
            </w:pPr>
            <w:r>
              <w:rPr/>
              <w:t>1,800,000</w:t>
            </w:r>
          </w:p>
        </w:tc>
        <w:tc>
          <w:tcPr>
            <w:tcW w:w="131" w:type="dxa"/>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2473" w:type="dxa"/>
            <w:gridSpan w:val="5"/>
            <w:tcBorders/>
            <w:vAlign w:val="center"/>
          </w:tcPr>
          <w:p>
            <w:pPr>
              <w:pStyle w:val="TableContents"/>
              <w:bidi w:val="0"/>
              <w:spacing w:before="0" w:after="283"/>
              <w:jc w:val="left"/>
              <w:rPr>
                <w:sz w:val="4"/>
                <w:szCs w:val="4"/>
              </w:rPr>
            </w:pPr>
            <w:r>
              <w:rPr>
                <w:sz w:val="4"/>
                <w:szCs w:val="4"/>
              </w:rPr>
            </w:r>
          </w:p>
        </w:tc>
        <w:tc>
          <w:tcPr>
            <w:tcW w:w="3778"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000000"/>
            </w:tcBorders>
            <w:tcMar>
              <w:bottom w:w="80" w:type="dxa"/>
            </w:tcMar>
            <w:vAlign w:val="center"/>
          </w:tcPr>
          <w:p>
            <w:pPr>
              <w:pStyle w:val="TableContents"/>
              <w:bidi w:val="0"/>
              <w:spacing w:before="0" w:after="0"/>
              <w:jc w:val="left"/>
              <w:rPr>
                <w:rFonts w:ascii="arial" w:hAnsi="arial"/>
                <w:sz w:val="20"/>
              </w:rPr>
            </w:pPr>
            <w:r>
              <w:rPr>
                <w:rFonts w:ascii="arial" w:hAnsi="arial"/>
                <w:sz w:val="20"/>
              </w:rPr>
              <w:t>Target Cash Incentive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6" w:space="0" w:color="000000"/>
            </w:tcBorders>
            <w:tcMar>
              <w:bottom w:w="80" w:type="dxa"/>
            </w:tcMar>
            <w:vAlign w:val="center"/>
          </w:tcPr>
          <w:p>
            <w:pPr>
              <w:pStyle w:val="TableContents"/>
              <w:bidi w:val="0"/>
              <w:spacing w:before="0" w:after="283"/>
              <w:jc w:val="left"/>
              <w:rPr/>
            </w:pPr>
            <w:r>
              <w:rPr/>
              <w:t> </w:t>
            </w:r>
          </w:p>
        </w:tc>
        <w:tc>
          <w:tcPr>
            <w:tcW w:w="2210" w:type="dxa"/>
            <w:tcBorders>
              <w:bottom w:val="single" w:sz="6" w:space="0" w:color="000000"/>
            </w:tcBorders>
            <w:tcMar>
              <w:bottom w:w="80" w:type="dxa"/>
            </w:tcMar>
            <w:vAlign w:val="center"/>
          </w:tcPr>
          <w:p>
            <w:pPr>
              <w:pStyle w:val="TableContents"/>
              <w:bidi w:val="0"/>
              <w:spacing w:before="0" w:after="283"/>
              <w:jc w:val="right"/>
              <w:rPr/>
            </w:pPr>
            <w:r>
              <w:rPr/>
              <w:t>1,950,000</w:t>
            </w:r>
          </w:p>
        </w:tc>
        <w:tc>
          <w:tcPr>
            <w:tcW w:w="54"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04" w:type="dxa"/>
            <w:tcBorders>
              <w:bottom w:val="single" w:sz="6" w:space="0" w:color="000000"/>
            </w:tcBorders>
            <w:tcMar>
              <w:bottom w:w="80" w:type="dxa"/>
            </w:tcMar>
            <w:vAlign w:val="center"/>
          </w:tcPr>
          <w:p>
            <w:pPr>
              <w:pStyle w:val="TableContents"/>
              <w:bidi w:val="0"/>
              <w:spacing w:before="0" w:after="283"/>
              <w:jc w:val="left"/>
              <w:rPr/>
            </w:pPr>
            <w:r>
              <w:rPr/>
              <w:t> </w:t>
            </w:r>
          </w:p>
        </w:tc>
        <w:tc>
          <w:tcPr>
            <w:tcW w:w="3342" w:type="dxa"/>
            <w:tcBorders>
              <w:bottom w:val="single" w:sz="6" w:space="0" w:color="000000"/>
            </w:tcBorders>
            <w:tcMar>
              <w:bottom w:w="80" w:type="dxa"/>
            </w:tcMar>
            <w:vAlign w:val="center"/>
          </w:tcPr>
          <w:p>
            <w:pPr>
              <w:pStyle w:val="TableContents"/>
              <w:bidi w:val="0"/>
              <w:spacing w:before="0" w:after="283"/>
              <w:jc w:val="right"/>
              <w:rPr/>
            </w:pPr>
            <w:r>
              <w:rPr/>
              <w:t>2,600,000</w:t>
            </w:r>
          </w:p>
        </w:tc>
        <w:tc>
          <w:tcPr>
            <w:tcW w:w="131"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2473" w:type="dxa"/>
            <w:gridSpan w:val="5"/>
            <w:tcBorders/>
            <w:vAlign w:val="center"/>
          </w:tcPr>
          <w:p>
            <w:pPr>
              <w:pStyle w:val="TableContents"/>
              <w:bidi w:val="0"/>
              <w:spacing w:before="0" w:after="283"/>
              <w:jc w:val="left"/>
              <w:rPr>
                <w:sz w:val="4"/>
                <w:szCs w:val="4"/>
              </w:rPr>
            </w:pPr>
            <w:r>
              <w:rPr>
                <w:sz w:val="4"/>
                <w:szCs w:val="4"/>
              </w:rPr>
            </w:r>
          </w:p>
        </w:tc>
        <w:tc>
          <w:tcPr>
            <w:tcW w:w="3778"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12" w:space="0" w:color="1070B8"/>
            </w:tcBorders>
            <w:tcMar>
              <w:bottom w:w="80" w:type="dxa"/>
            </w:tcMar>
            <w:vAlign w:val="center"/>
          </w:tcPr>
          <w:p>
            <w:pPr>
              <w:pStyle w:val="TableContents"/>
              <w:bidi w:val="0"/>
              <w:spacing w:before="0" w:after="0"/>
              <w:jc w:val="left"/>
              <w:rPr/>
            </w:pPr>
            <w:r>
              <w:rPr/>
              <w:t> </w:t>
            </w:r>
            <w:r>
              <w:rPr>
                <w:rFonts w:ascii="arial" w:hAnsi="arial"/>
                <w:sz w:val="20"/>
              </w:rPr>
              <w:t>Total</w:t>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12" w:space="0" w:color="1070B8"/>
            </w:tcBorders>
            <w:tcMar>
              <w:bottom w:w="80" w:type="dxa"/>
            </w:tcMar>
            <w:vAlign w:val="center"/>
          </w:tcPr>
          <w:p>
            <w:pPr>
              <w:pStyle w:val="TableContents"/>
              <w:bidi w:val="0"/>
              <w:spacing w:before="0" w:after="283"/>
              <w:jc w:val="left"/>
              <w:rPr/>
            </w:pPr>
            <w:r>
              <w:rPr/>
              <w:t> </w:t>
            </w:r>
          </w:p>
        </w:tc>
        <w:tc>
          <w:tcPr>
            <w:tcW w:w="2210" w:type="dxa"/>
            <w:tcBorders>
              <w:bottom w:val="single" w:sz="12" w:space="0" w:color="1070B8"/>
            </w:tcBorders>
            <w:tcMar>
              <w:bottom w:w="80" w:type="dxa"/>
            </w:tcMar>
            <w:vAlign w:val="center"/>
          </w:tcPr>
          <w:p>
            <w:pPr>
              <w:pStyle w:val="TableContents"/>
              <w:bidi w:val="0"/>
              <w:spacing w:before="0" w:after="283"/>
              <w:jc w:val="right"/>
              <w:rPr/>
            </w:pPr>
            <w:r>
              <w:rPr/>
              <w:t>3,300,000</w:t>
            </w:r>
          </w:p>
        </w:tc>
        <w:tc>
          <w:tcPr>
            <w:tcW w:w="54" w:type="dxa"/>
            <w:tcBorders>
              <w:bottom w:val="single" w:sz="12" w:space="0" w:color="1070B8"/>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12" w:space="0" w:color="1070B8"/>
            </w:tcBorders>
            <w:tcMar>
              <w:bottom w:w="28" w:type="dxa"/>
            </w:tcMar>
            <w:vAlign w:val="center"/>
          </w:tcPr>
          <w:p>
            <w:pPr>
              <w:pStyle w:val="TableContents"/>
              <w:bidi w:val="0"/>
              <w:spacing w:before="0" w:after="283"/>
              <w:jc w:val="left"/>
              <w:rPr>
                <w:sz w:val="4"/>
                <w:szCs w:val="4"/>
              </w:rPr>
            </w:pPr>
            <w:r>
              <w:rPr>
                <w:sz w:val="4"/>
                <w:szCs w:val="4"/>
              </w:rPr>
            </w:r>
          </w:p>
        </w:tc>
        <w:tc>
          <w:tcPr>
            <w:tcW w:w="204" w:type="dxa"/>
            <w:tcBorders>
              <w:bottom w:val="single" w:sz="12" w:space="0" w:color="1070B8"/>
            </w:tcBorders>
            <w:tcMar>
              <w:bottom w:w="80" w:type="dxa"/>
            </w:tcMar>
            <w:vAlign w:val="center"/>
          </w:tcPr>
          <w:p>
            <w:pPr>
              <w:pStyle w:val="TableContents"/>
              <w:bidi w:val="0"/>
              <w:spacing w:before="0" w:after="283"/>
              <w:jc w:val="left"/>
              <w:rPr/>
            </w:pPr>
            <w:r>
              <w:rPr/>
              <w:t> </w:t>
            </w:r>
          </w:p>
        </w:tc>
        <w:tc>
          <w:tcPr>
            <w:tcW w:w="3342" w:type="dxa"/>
            <w:tcBorders>
              <w:bottom w:val="single" w:sz="12" w:space="0" w:color="1070B8"/>
            </w:tcBorders>
            <w:tcMar>
              <w:bottom w:w="80" w:type="dxa"/>
            </w:tcMar>
            <w:vAlign w:val="center"/>
          </w:tcPr>
          <w:p>
            <w:pPr>
              <w:pStyle w:val="TableContents"/>
              <w:bidi w:val="0"/>
              <w:spacing w:before="0" w:after="283"/>
              <w:jc w:val="right"/>
              <w:rPr/>
            </w:pPr>
            <w:r>
              <w:rPr/>
              <w:t>4,400,000</w:t>
            </w:r>
          </w:p>
        </w:tc>
        <w:tc>
          <w:tcPr>
            <w:tcW w:w="131" w:type="dxa"/>
            <w:tcBorders>
              <w:bottom w:val="single" w:sz="12" w:space="0" w:color="1070B8"/>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Executive Compensation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1070B8"/>
          <w:sz w:val="22"/>
        </w:rPr>
      </w:pPr>
      <w:r>
        <w:rPr>
          <w:rFonts w:ascii="arial" w:hAnsi="arial"/>
          <w:color w:val="1070B8"/>
          <w:sz w:val="22"/>
        </w:rPr>
        <w:t xml:space="preserve">Payments to NEOs upon Death, Retirement or Disability, Change in Control or Termination </w:t>
      </w:r>
    </w:p>
    <w:p>
      <w:pPr>
        <w:pStyle w:val="TextBody"/>
        <w:bidi w:val="0"/>
        <w:spacing w:before="240" w:after="0"/>
        <w:jc w:val="left"/>
        <w:rPr>
          <w:rFonts w:ascii="arial" w:hAnsi="arial"/>
          <w:sz w:val="20"/>
        </w:rPr>
      </w:pPr>
      <w:r>
        <w:rPr>
          <w:rFonts w:ascii="arial" w:hAnsi="arial"/>
          <w:sz w:val="20"/>
        </w:rPr>
        <w:t xml:space="preserve">The following table summarizes the value of any cash awards or unvested restricted stock that would vest in the event of an NEO’s death, retirement or disability; an NEO’s termination without cause or for good reason; or a change of control, assuming such event occurred on December 31, 2024. The value was determined by multiplying the closing price of our common stock on December 31, 2024 ($175.25) by the number of shares that would have vested on such date. </w:t>
      </w:r>
    </w:p>
    <w:p>
      <w:pPr>
        <w:pStyle w:val="TextBody"/>
        <w:bidi w:val="0"/>
        <w:spacing w:before="0" w:after="0"/>
        <w:jc w:val="left"/>
        <w:rPr/>
      </w:pPr>
      <w:r>
        <w:rPr/>
        <w:t> </w:t>
      </w:r>
    </w:p>
    <w:tbl>
      <w:tblPr>
        <w:tblW w:w="10615" w:type="dxa"/>
        <w:jc w:val="left"/>
        <w:tblInd w:w="0" w:type="dxa"/>
        <w:tblLayout w:type="fixed"/>
        <w:tblCellMar>
          <w:top w:w="0" w:type="dxa"/>
          <w:left w:w="0" w:type="dxa"/>
          <w:bottom w:w="0" w:type="dxa"/>
          <w:right w:w="0" w:type="dxa"/>
        </w:tblCellMar>
      </w:tblPr>
      <w:tblGrid>
        <w:gridCol w:w="935"/>
        <w:gridCol w:w="120"/>
        <w:gridCol w:w="144"/>
        <w:gridCol w:w="1346"/>
        <w:gridCol w:w="60"/>
        <w:gridCol w:w="120"/>
        <w:gridCol w:w="122"/>
        <w:gridCol w:w="1998"/>
        <w:gridCol w:w="60"/>
        <w:gridCol w:w="120"/>
        <w:gridCol w:w="131"/>
        <w:gridCol w:w="2319"/>
        <w:gridCol w:w="60"/>
        <w:gridCol w:w="120"/>
        <w:gridCol w:w="155"/>
        <w:gridCol w:w="2730"/>
        <w:gridCol w:w="75"/>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630" w:type="dxa"/>
            <w:gridSpan w:val="4"/>
            <w:tcBorders/>
            <w:vAlign w:val="center"/>
          </w:tcPr>
          <w:p>
            <w:pPr>
              <w:pStyle w:val="TableContents"/>
              <w:bidi w:val="0"/>
              <w:spacing w:before="0" w:after="283"/>
              <w:jc w:val="left"/>
              <w:rPr>
                <w:sz w:val="4"/>
                <w:szCs w:val="4"/>
              </w:rPr>
            </w:pPr>
            <w:r>
              <w:rPr>
                <w:sz w:val="4"/>
                <w:szCs w:val="4"/>
              </w:rPr>
            </w:r>
          </w:p>
        </w:tc>
        <w:tc>
          <w:tcPr>
            <w:tcW w:w="308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12" w:space="0" w:color="1070B8"/>
            </w:tcBorders>
            <w:tcMar>
              <w:bottom w:w="80" w:type="dxa"/>
            </w:tcMar>
            <w:vAlign w:val="center"/>
          </w:tcPr>
          <w:p>
            <w:pPr>
              <w:pStyle w:val="TableContents"/>
              <w:bidi w:val="0"/>
              <w:spacing w:before="0" w:after="283"/>
              <w:jc w:val="left"/>
              <w:rPr>
                <w:b/>
                <w:color w:val="1F295C"/>
              </w:rPr>
            </w:pPr>
            <w:r>
              <w:rPr>
                <w:b/>
                <w:color w:val="1F295C"/>
              </w:rPr>
              <w:t>Name</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490" w:type="dxa"/>
            <w:gridSpan w:val="2"/>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Type of</w:t>
              <w:br/>
              <w:t>Compensation</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2120" w:type="dxa"/>
            <w:gridSpan w:val="2"/>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Death Retirement or</w:t>
              <w:br/>
              <w:t>Disability ($)(1)</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2450" w:type="dxa"/>
            <w:gridSpan w:val="2"/>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Change of Control ($)(1)</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2885" w:type="dxa"/>
            <w:gridSpan w:val="2"/>
            <w:tcBorders>
              <w:bottom w:val="single" w:sz="12" w:space="0" w:color="1070B8"/>
            </w:tcBorders>
            <w:tcMar>
              <w:bottom w:w="80" w:type="dxa"/>
            </w:tcMar>
            <w:vAlign w:val="center"/>
          </w:tcPr>
          <w:p>
            <w:pPr>
              <w:pStyle w:val="TableContents"/>
              <w:bidi w:val="0"/>
              <w:spacing w:before="0" w:after="283"/>
              <w:jc w:val="center"/>
              <w:rPr>
                <w:b/>
                <w:color w:val="1F295C"/>
              </w:rPr>
            </w:pPr>
            <w:r>
              <w:rPr>
                <w:b/>
                <w:color w:val="1F295C"/>
              </w:rPr>
              <w:t>Termination Without Cause</w:t>
              <w:br/>
              <w:t>or For Good Reason</w:t>
            </w:r>
          </w:p>
        </w:tc>
        <w:tc>
          <w:tcPr>
            <w:tcW w:w="75" w:type="dxa"/>
            <w:tcBorders>
              <w:bottom w:val="single" w:sz="12" w:space="0" w:color="1070B8"/>
            </w:tcBorders>
            <w:tcMar>
              <w:bottom w:w="28" w:type="dxa"/>
            </w:tcMar>
            <w:vAlign w:val="center"/>
          </w:tcPr>
          <w:p>
            <w:pPr>
              <w:pStyle w:val="TableContents"/>
              <w:bidi w:val="0"/>
              <w:spacing w:before="0" w:after="283"/>
              <w:jc w:val="left"/>
              <w:rPr/>
            </w:pPr>
            <w:r>
              <w:rPr/>
              <w:t> </w:t>
            </w:r>
          </w:p>
        </w:tc>
      </w:tr>
      <w:tr>
        <w:trPr/>
        <w:tc>
          <w:tcPr>
            <w:tcW w:w="935" w:type="dxa"/>
            <w:tcBorders/>
            <w:shd w:fill="D5DBE3" w:val="clear"/>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630" w:type="dxa"/>
            <w:gridSpan w:val="4"/>
            <w:tcBorders/>
            <w:vAlign w:val="center"/>
          </w:tcPr>
          <w:p>
            <w:pPr>
              <w:pStyle w:val="TableContents"/>
              <w:bidi w:val="0"/>
              <w:spacing w:before="0" w:after="283"/>
              <w:jc w:val="left"/>
              <w:rPr>
                <w:sz w:val="4"/>
                <w:szCs w:val="4"/>
              </w:rPr>
            </w:pPr>
            <w:r>
              <w:rPr>
                <w:sz w:val="4"/>
                <w:szCs w:val="4"/>
              </w:rPr>
            </w:r>
          </w:p>
        </w:tc>
        <w:tc>
          <w:tcPr>
            <w:tcW w:w="308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Jeffrey W. Edwards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 w:type="dxa"/>
            <w:tcBorders>
              <w:bottom w:val="single" w:sz="6" w:space="0" w:color="000000"/>
            </w:tcBorders>
            <w:tcMar>
              <w:bottom w:w="80" w:type="dxa"/>
            </w:tcMar>
            <w:vAlign w:val="center"/>
          </w:tcPr>
          <w:p>
            <w:pPr>
              <w:pStyle w:val="TableContents"/>
              <w:bidi w:val="0"/>
              <w:spacing w:before="0" w:after="283"/>
              <w:jc w:val="left"/>
              <w:rPr/>
            </w:pPr>
            <w:r>
              <w:rPr/>
              <w:t> </w:t>
            </w:r>
          </w:p>
        </w:tc>
        <w:tc>
          <w:tcPr>
            <w:tcW w:w="1346" w:type="dxa"/>
            <w:tcBorders>
              <w:bottom w:val="single" w:sz="6" w:space="0" w:color="000000"/>
            </w:tcBorders>
            <w:tcMar>
              <w:bottom w:w="80" w:type="dxa"/>
            </w:tcMar>
            <w:vAlign w:val="center"/>
          </w:tcPr>
          <w:p>
            <w:pPr>
              <w:pStyle w:val="TableContents"/>
              <w:bidi w:val="0"/>
              <w:spacing w:before="0" w:after="283"/>
              <w:jc w:val="right"/>
              <w:rPr/>
            </w:pPr>
            <w:r>
              <w:rPr/>
              <w:t>Stock</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 w:type="dxa"/>
            <w:tcBorders>
              <w:bottom w:val="single" w:sz="6" w:space="0" w:color="000000"/>
            </w:tcBorders>
            <w:tcMar>
              <w:bottom w:w="80" w:type="dxa"/>
            </w:tcMar>
            <w:vAlign w:val="center"/>
          </w:tcPr>
          <w:p>
            <w:pPr>
              <w:pStyle w:val="TableContents"/>
              <w:bidi w:val="0"/>
              <w:spacing w:before="0" w:after="283"/>
              <w:jc w:val="left"/>
              <w:rPr/>
            </w:pPr>
            <w:r>
              <w:rPr/>
              <w:t> </w:t>
            </w:r>
          </w:p>
        </w:tc>
        <w:tc>
          <w:tcPr>
            <w:tcW w:w="1998" w:type="dxa"/>
            <w:tcBorders>
              <w:bottom w:val="single" w:sz="6" w:space="0" w:color="000000"/>
            </w:tcBorders>
            <w:tcMar>
              <w:bottom w:w="80" w:type="dxa"/>
            </w:tcMar>
            <w:vAlign w:val="center"/>
          </w:tcPr>
          <w:p>
            <w:pPr>
              <w:pStyle w:val="TableContents"/>
              <w:bidi w:val="0"/>
              <w:spacing w:before="0" w:after="283"/>
              <w:jc w:val="right"/>
              <w:rPr/>
            </w:pPr>
            <w:r>
              <w:rPr/>
              <w:t>9,001,541</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2319" w:type="dxa"/>
            <w:tcBorders>
              <w:bottom w:val="single" w:sz="6" w:space="0" w:color="000000"/>
            </w:tcBorders>
            <w:tcMar>
              <w:bottom w:w="80" w:type="dxa"/>
            </w:tcMar>
            <w:vAlign w:val="center"/>
          </w:tcPr>
          <w:p>
            <w:pPr>
              <w:pStyle w:val="TableContents"/>
              <w:bidi w:val="0"/>
              <w:spacing w:before="0" w:after="283"/>
              <w:jc w:val="right"/>
              <w:rPr/>
            </w:pPr>
            <w:r>
              <w:rPr/>
              <w:t>9,001,541</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80" w:type="dxa"/>
            </w:tcMar>
            <w:vAlign w:val="center"/>
          </w:tcPr>
          <w:p>
            <w:pPr>
              <w:pStyle w:val="TableContents"/>
              <w:bidi w:val="0"/>
              <w:spacing w:before="0" w:after="283"/>
              <w:jc w:val="left"/>
              <w:rPr/>
            </w:pPr>
            <w:r>
              <w:rPr/>
              <w:t> </w:t>
            </w:r>
          </w:p>
        </w:tc>
        <w:tc>
          <w:tcPr>
            <w:tcW w:w="2730" w:type="dxa"/>
            <w:tcBorders>
              <w:bottom w:val="single" w:sz="6" w:space="0" w:color="000000"/>
            </w:tcBorders>
            <w:tcMar>
              <w:bottom w:w="80" w:type="dxa"/>
            </w:tcMar>
            <w:vAlign w:val="center"/>
          </w:tcPr>
          <w:p>
            <w:pPr>
              <w:pStyle w:val="TableContents"/>
              <w:bidi w:val="0"/>
              <w:spacing w:before="0" w:after="283"/>
              <w:jc w:val="right"/>
              <w:rPr/>
            </w:pPr>
            <w:r>
              <w:rPr/>
              <w:t>—</w:t>
            </w:r>
          </w:p>
        </w:tc>
        <w:tc>
          <w:tcPr>
            <w:tcW w:w="75" w:type="dxa"/>
            <w:tcBorders>
              <w:bottom w:val="single" w:sz="6" w:space="0" w:color="000000"/>
            </w:tcBorders>
            <w:tcMar>
              <w:bottom w:w="80" w:type="dxa"/>
            </w:tcM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630" w:type="dxa"/>
            <w:gridSpan w:val="4"/>
            <w:tcBorders/>
            <w:vAlign w:val="center"/>
          </w:tcPr>
          <w:p>
            <w:pPr>
              <w:pStyle w:val="TableContents"/>
              <w:bidi w:val="0"/>
              <w:spacing w:before="0" w:after="283"/>
              <w:jc w:val="left"/>
              <w:rPr>
                <w:sz w:val="4"/>
                <w:szCs w:val="4"/>
              </w:rPr>
            </w:pPr>
            <w:r>
              <w:rPr>
                <w:sz w:val="4"/>
                <w:szCs w:val="4"/>
              </w:rPr>
            </w:r>
          </w:p>
        </w:tc>
        <w:tc>
          <w:tcPr>
            <w:tcW w:w="308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 w:type="dxa"/>
            <w:tcBorders>
              <w:bottom w:val="single" w:sz="6" w:space="0" w:color="000000"/>
            </w:tcBorders>
            <w:tcMar>
              <w:bottom w:w="80" w:type="dxa"/>
            </w:tcMar>
            <w:vAlign w:val="center"/>
          </w:tcPr>
          <w:p>
            <w:pPr>
              <w:pStyle w:val="TableContents"/>
              <w:bidi w:val="0"/>
              <w:spacing w:before="0" w:after="283"/>
              <w:jc w:val="left"/>
              <w:rPr/>
            </w:pPr>
            <w:r>
              <w:rPr/>
              <w:t> </w:t>
            </w:r>
          </w:p>
        </w:tc>
        <w:tc>
          <w:tcPr>
            <w:tcW w:w="1346" w:type="dxa"/>
            <w:tcBorders>
              <w:bottom w:val="single" w:sz="6" w:space="0" w:color="000000"/>
            </w:tcBorders>
            <w:tcMar>
              <w:bottom w:w="80" w:type="dxa"/>
            </w:tcMar>
            <w:vAlign w:val="center"/>
          </w:tcPr>
          <w:p>
            <w:pPr>
              <w:pStyle w:val="TableContents"/>
              <w:bidi w:val="0"/>
              <w:spacing w:before="0" w:after="283"/>
              <w:jc w:val="right"/>
              <w:rPr/>
            </w:pPr>
            <w:r>
              <w:rPr/>
              <w:t>Cash</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 w:type="dxa"/>
            <w:tcBorders>
              <w:bottom w:val="single" w:sz="6" w:space="0" w:color="000000"/>
            </w:tcBorders>
            <w:tcMar>
              <w:bottom w:w="80" w:type="dxa"/>
            </w:tcMar>
            <w:vAlign w:val="center"/>
          </w:tcPr>
          <w:p>
            <w:pPr>
              <w:pStyle w:val="TableContents"/>
              <w:bidi w:val="0"/>
              <w:spacing w:before="0" w:after="283"/>
              <w:jc w:val="left"/>
              <w:rPr/>
            </w:pPr>
            <w:r>
              <w:rPr/>
              <w:t> </w:t>
            </w:r>
          </w:p>
        </w:tc>
        <w:tc>
          <w:tcPr>
            <w:tcW w:w="1998" w:type="dxa"/>
            <w:tcBorders>
              <w:bottom w:val="single" w:sz="6" w:space="0" w:color="000000"/>
            </w:tcBorders>
            <w:tcMar>
              <w:bottom w:w="80" w:type="dxa"/>
            </w:tcMar>
            <w:vAlign w:val="center"/>
          </w:tcPr>
          <w:p>
            <w:pPr>
              <w:pStyle w:val="TableContents"/>
              <w:bidi w:val="0"/>
              <w:spacing w:before="0" w:after="283"/>
              <w:jc w:val="right"/>
              <w:rPr/>
            </w:pPr>
            <w:r>
              <w:rPr/>
              <w:t>—</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2319" w:type="dxa"/>
            <w:tcBorders>
              <w:bottom w:val="single" w:sz="6" w:space="0" w:color="000000"/>
            </w:tcBorders>
            <w:tcMar>
              <w:bottom w:w="80" w:type="dxa"/>
            </w:tcMar>
            <w:vAlign w:val="center"/>
          </w:tcPr>
          <w:p>
            <w:pPr>
              <w:pStyle w:val="TableContents"/>
              <w:bidi w:val="0"/>
              <w:spacing w:before="0" w:after="283"/>
              <w:jc w:val="right"/>
              <w:rPr/>
            </w:pPr>
            <w:r>
              <w:rPr/>
              <w:t>4,400,000(2)</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80" w:type="dxa"/>
            </w:tcMar>
            <w:vAlign w:val="center"/>
          </w:tcPr>
          <w:p>
            <w:pPr>
              <w:pStyle w:val="TableContents"/>
              <w:bidi w:val="0"/>
              <w:spacing w:before="0" w:after="283"/>
              <w:jc w:val="left"/>
              <w:rPr/>
            </w:pPr>
            <w:r>
              <w:rPr/>
              <w:t> </w:t>
            </w:r>
          </w:p>
        </w:tc>
        <w:tc>
          <w:tcPr>
            <w:tcW w:w="2730" w:type="dxa"/>
            <w:tcBorders>
              <w:bottom w:val="single" w:sz="6" w:space="0" w:color="000000"/>
            </w:tcBorders>
            <w:tcMar>
              <w:bottom w:w="80" w:type="dxa"/>
            </w:tcMar>
            <w:vAlign w:val="center"/>
          </w:tcPr>
          <w:p>
            <w:pPr>
              <w:pStyle w:val="TableContents"/>
              <w:bidi w:val="0"/>
              <w:spacing w:before="0" w:after="283"/>
              <w:jc w:val="right"/>
              <w:rPr/>
            </w:pPr>
            <w:r>
              <w:rPr/>
              <w:t>3,300,000(2)</w:t>
            </w:r>
          </w:p>
        </w:tc>
        <w:tc>
          <w:tcPr>
            <w:tcW w:w="75" w:type="dxa"/>
            <w:tcBorders>
              <w:bottom w:val="single" w:sz="6" w:space="0" w:color="000000"/>
            </w:tcBorders>
            <w:tcMar>
              <w:bottom w:w="80" w:type="dxa"/>
            </w:tcMar>
            <w:vAlign w:val="center"/>
          </w:tcPr>
          <w:p>
            <w:pPr>
              <w:pStyle w:val="TableContents"/>
              <w:bidi w:val="0"/>
              <w:spacing w:before="0" w:after="283"/>
              <w:jc w:val="left"/>
              <w:rPr/>
            </w:pPr>
            <w:r>
              <w:rPr/>
              <w:t> </w:t>
            </w:r>
          </w:p>
        </w:tc>
      </w:tr>
      <w:tr>
        <w:trPr/>
        <w:tc>
          <w:tcPr>
            <w:tcW w:w="935" w:type="dxa"/>
            <w:tcBorders/>
            <w:shd w:fill="D5DBE3" w:val="clear"/>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630" w:type="dxa"/>
            <w:gridSpan w:val="4"/>
            <w:tcBorders/>
            <w:vAlign w:val="center"/>
          </w:tcPr>
          <w:p>
            <w:pPr>
              <w:pStyle w:val="TableContents"/>
              <w:bidi w:val="0"/>
              <w:spacing w:before="0" w:after="283"/>
              <w:jc w:val="left"/>
              <w:rPr>
                <w:sz w:val="4"/>
                <w:szCs w:val="4"/>
              </w:rPr>
            </w:pPr>
            <w:r>
              <w:rPr>
                <w:sz w:val="4"/>
                <w:szCs w:val="4"/>
              </w:rPr>
            </w:r>
          </w:p>
        </w:tc>
        <w:tc>
          <w:tcPr>
            <w:tcW w:w="308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Michael T. Miller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 w:type="dxa"/>
            <w:tcBorders>
              <w:bottom w:val="single" w:sz="6" w:space="0" w:color="000000"/>
            </w:tcBorders>
            <w:tcMar>
              <w:bottom w:w="80" w:type="dxa"/>
            </w:tcMar>
            <w:vAlign w:val="center"/>
          </w:tcPr>
          <w:p>
            <w:pPr>
              <w:pStyle w:val="TableContents"/>
              <w:bidi w:val="0"/>
              <w:spacing w:before="0" w:after="283"/>
              <w:jc w:val="left"/>
              <w:rPr/>
            </w:pPr>
            <w:r>
              <w:rPr/>
              <w:t> </w:t>
            </w:r>
          </w:p>
        </w:tc>
        <w:tc>
          <w:tcPr>
            <w:tcW w:w="1346" w:type="dxa"/>
            <w:tcBorders>
              <w:bottom w:val="single" w:sz="6" w:space="0" w:color="000000"/>
            </w:tcBorders>
            <w:tcMar>
              <w:bottom w:w="80" w:type="dxa"/>
            </w:tcMar>
            <w:vAlign w:val="center"/>
          </w:tcPr>
          <w:p>
            <w:pPr>
              <w:pStyle w:val="TableContents"/>
              <w:bidi w:val="0"/>
              <w:spacing w:before="0" w:after="283"/>
              <w:jc w:val="right"/>
              <w:rPr/>
            </w:pPr>
            <w:r>
              <w:rPr/>
              <w:t>Stock</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 w:type="dxa"/>
            <w:tcBorders>
              <w:bottom w:val="single" w:sz="6" w:space="0" w:color="000000"/>
            </w:tcBorders>
            <w:tcMar>
              <w:bottom w:w="80" w:type="dxa"/>
            </w:tcMar>
            <w:vAlign w:val="center"/>
          </w:tcPr>
          <w:p>
            <w:pPr>
              <w:pStyle w:val="TableContents"/>
              <w:bidi w:val="0"/>
              <w:spacing w:before="0" w:after="283"/>
              <w:jc w:val="left"/>
              <w:rPr/>
            </w:pPr>
            <w:r>
              <w:rPr/>
              <w:t> </w:t>
            </w:r>
          </w:p>
        </w:tc>
        <w:tc>
          <w:tcPr>
            <w:tcW w:w="1998" w:type="dxa"/>
            <w:tcBorders>
              <w:bottom w:val="single" w:sz="6" w:space="0" w:color="000000"/>
            </w:tcBorders>
            <w:tcMar>
              <w:bottom w:w="80" w:type="dxa"/>
            </w:tcMar>
            <w:vAlign w:val="center"/>
          </w:tcPr>
          <w:p>
            <w:pPr>
              <w:pStyle w:val="TableContents"/>
              <w:bidi w:val="0"/>
              <w:spacing w:before="0" w:after="283"/>
              <w:jc w:val="right"/>
              <w:rPr/>
            </w:pPr>
            <w:r>
              <w:rPr/>
              <w:t>2,898,635</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2319" w:type="dxa"/>
            <w:tcBorders>
              <w:bottom w:val="single" w:sz="6" w:space="0" w:color="000000"/>
            </w:tcBorders>
            <w:tcMar>
              <w:bottom w:w="80" w:type="dxa"/>
            </w:tcMar>
            <w:vAlign w:val="center"/>
          </w:tcPr>
          <w:p>
            <w:pPr>
              <w:pStyle w:val="TableContents"/>
              <w:bidi w:val="0"/>
              <w:spacing w:before="0" w:after="283"/>
              <w:jc w:val="right"/>
              <w:rPr/>
            </w:pPr>
            <w:r>
              <w:rPr/>
              <w:t>2,898,635</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80" w:type="dxa"/>
            </w:tcMar>
            <w:vAlign w:val="center"/>
          </w:tcPr>
          <w:p>
            <w:pPr>
              <w:pStyle w:val="TableContents"/>
              <w:bidi w:val="0"/>
              <w:spacing w:before="0" w:after="283"/>
              <w:jc w:val="left"/>
              <w:rPr/>
            </w:pPr>
            <w:r>
              <w:rPr/>
              <w:t> </w:t>
            </w:r>
          </w:p>
        </w:tc>
        <w:tc>
          <w:tcPr>
            <w:tcW w:w="2730" w:type="dxa"/>
            <w:tcBorders>
              <w:bottom w:val="single" w:sz="6" w:space="0" w:color="000000"/>
            </w:tcBorders>
            <w:tcMar>
              <w:bottom w:w="80" w:type="dxa"/>
            </w:tcMar>
            <w:vAlign w:val="center"/>
          </w:tcPr>
          <w:p>
            <w:pPr>
              <w:pStyle w:val="TableContents"/>
              <w:bidi w:val="0"/>
              <w:spacing w:before="0" w:after="283"/>
              <w:jc w:val="right"/>
              <w:rPr/>
            </w:pPr>
            <w:r>
              <w:rPr/>
              <w:t>—</w:t>
            </w:r>
          </w:p>
        </w:tc>
        <w:tc>
          <w:tcPr>
            <w:tcW w:w="75" w:type="dxa"/>
            <w:tcBorders>
              <w:bottom w:val="single" w:sz="6" w:space="0" w:color="000000"/>
            </w:tcBorders>
            <w:tcMar>
              <w:bottom w:w="80" w:type="dxa"/>
            </w:tcM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630" w:type="dxa"/>
            <w:gridSpan w:val="4"/>
            <w:tcBorders/>
            <w:vAlign w:val="center"/>
          </w:tcPr>
          <w:p>
            <w:pPr>
              <w:pStyle w:val="TableContents"/>
              <w:bidi w:val="0"/>
              <w:spacing w:before="0" w:after="283"/>
              <w:jc w:val="left"/>
              <w:rPr>
                <w:sz w:val="4"/>
                <w:szCs w:val="4"/>
              </w:rPr>
            </w:pPr>
            <w:r>
              <w:rPr>
                <w:sz w:val="4"/>
                <w:szCs w:val="4"/>
              </w:rPr>
            </w:r>
          </w:p>
        </w:tc>
        <w:tc>
          <w:tcPr>
            <w:tcW w:w="308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 w:type="dxa"/>
            <w:tcBorders>
              <w:bottom w:val="single" w:sz="6" w:space="0" w:color="000000"/>
            </w:tcBorders>
            <w:tcMar>
              <w:bottom w:w="80" w:type="dxa"/>
            </w:tcMar>
            <w:vAlign w:val="center"/>
          </w:tcPr>
          <w:p>
            <w:pPr>
              <w:pStyle w:val="TableContents"/>
              <w:bidi w:val="0"/>
              <w:spacing w:before="0" w:after="283"/>
              <w:jc w:val="left"/>
              <w:rPr/>
            </w:pPr>
            <w:r>
              <w:rPr/>
              <w:t> </w:t>
            </w:r>
          </w:p>
        </w:tc>
        <w:tc>
          <w:tcPr>
            <w:tcW w:w="1346" w:type="dxa"/>
            <w:tcBorders>
              <w:bottom w:val="single" w:sz="6" w:space="0" w:color="000000"/>
            </w:tcBorders>
            <w:tcMar>
              <w:bottom w:w="80" w:type="dxa"/>
            </w:tcMar>
            <w:vAlign w:val="center"/>
          </w:tcPr>
          <w:p>
            <w:pPr>
              <w:pStyle w:val="TableContents"/>
              <w:bidi w:val="0"/>
              <w:spacing w:before="0" w:after="283"/>
              <w:jc w:val="right"/>
              <w:rPr/>
            </w:pPr>
            <w:r>
              <w:rPr/>
              <w:t>Cash</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 w:type="dxa"/>
            <w:tcBorders>
              <w:bottom w:val="single" w:sz="6" w:space="0" w:color="000000"/>
            </w:tcBorders>
            <w:tcMar>
              <w:bottom w:w="80" w:type="dxa"/>
            </w:tcMar>
            <w:vAlign w:val="center"/>
          </w:tcPr>
          <w:p>
            <w:pPr>
              <w:pStyle w:val="TableContents"/>
              <w:bidi w:val="0"/>
              <w:spacing w:before="0" w:after="283"/>
              <w:jc w:val="left"/>
              <w:rPr/>
            </w:pPr>
            <w:r>
              <w:rPr/>
              <w:t> </w:t>
            </w:r>
          </w:p>
        </w:tc>
        <w:tc>
          <w:tcPr>
            <w:tcW w:w="1998" w:type="dxa"/>
            <w:tcBorders>
              <w:bottom w:val="single" w:sz="6" w:space="0" w:color="000000"/>
            </w:tcBorders>
            <w:tcMar>
              <w:bottom w:w="80" w:type="dxa"/>
            </w:tcMar>
            <w:vAlign w:val="center"/>
          </w:tcPr>
          <w:p>
            <w:pPr>
              <w:pStyle w:val="TableContents"/>
              <w:bidi w:val="0"/>
              <w:spacing w:before="0" w:after="283"/>
              <w:jc w:val="right"/>
              <w:rPr/>
            </w:pPr>
            <w:r>
              <w:rPr/>
              <w:t>—</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2319" w:type="dxa"/>
            <w:tcBorders>
              <w:bottom w:val="single" w:sz="6" w:space="0" w:color="000000"/>
            </w:tcBorders>
            <w:tcMar>
              <w:bottom w:w="80" w:type="dxa"/>
            </w:tcMar>
            <w:vAlign w:val="center"/>
          </w:tcPr>
          <w:p>
            <w:pPr>
              <w:pStyle w:val="TableContents"/>
              <w:bidi w:val="0"/>
              <w:spacing w:before="0" w:after="283"/>
              <w:jc w:val="right"/>
              <w:rPr/>
            </w:pPr>
            <w:r>
              <w:rPr/>
              <w:t>—</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80" w:type="dxa"/>
            </w:tcMar>
            <w:vAlign w:val="center"/>
          </w:tcPr>
          <w:p>
            <w:pPr>
              <w:pStyle w:val="TableContents"/>
              <w:bidi w:val="0"/>
              <w:spacing w:before="0" w:after="283"/>
              <w:jc w:val="left"/>
              <w:rPr/>
            </w:pPr>
            <w:r>
              <w:rPr/>
              <w:t> </w:t>
            </w:r>
          </w:p>
        </w:tc>
        <w:tc>
          <w:tcPr>
            <w:tcW w:w="2730" w:type="dxa"/>
            <w:tcBorders>
              <w:bottom w:val="single" w:sz="6" w:space="0" w:color="000000"/>
            </w:tcBorders>
            <w:tcMar>
              <w:bottom w:w="80" w:type="dxa"/>
            </w:tcMar>
            <w:vAlign w:val="center"/>
          </w:tcPr>
          <w:p>
            <w:pPr>
              <w:pStyle w:val="TableContents"/>
              <w:bidi w:val="0"/>
              <w:spacing w:before="0" w:after="283"/>
              <w:jc w:val="right"/>
              <w:rPr/>
            </w:pPr>
            <w:r>
              <w:rPr/>
              <w:t>—</w:t>
            </w:r>
          </w:p>
        </w:tc>
        <w:tc>
          <w:tcPr>
            <w:tcW w:w="75" w:type="dxa"/>
            <w:tcBorders>
              <w:bottom w:val="single" w:sz="6" w:space="0" w:color="000000"/>
            </w:tcBorders>
            <w:tcMar>
              <w:bottom w:w="80" w:type="dxa"/>
            </w:tcMar>
            <w:vAlign w:val="center"/>
          </w:tcPr>
          <w:p>
            <w:pPr>
              <w:pStyle w:val="TableContents"/>
              <w:bidi w:val="0"/>
              <w:spacing w:before="0" w:after="283"/>
              <w:jc w:val="left"/>
              <w:rPr/>
            </w:pPr>
            <w:r>
              <w:rPr/>
              <w:t> </w:t>
            </w:r>
          </w:p>
        </w:tc>
      </w:tr>
      <w:tr>
        <w:trPr/>
        <w:tc>
          <w:tcPr>
            <w:tcW w:w="935" w:type="dxa"/>
            <w:tcBorders/>
            <w:shd w:fill="D5DBE3" w:val="clear"/>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630" w:type="dxa"/>
            <w:gridSpan w:val="4"/>
            <w:tcBorders/>
            <w:vAlign w:val="center"/>
          </w:tcPr>
          <w:p>
            <w:pPr>
              <w:pStyle w:val="TableContents"/>
              <w:bidi w:val="0"/>
              <w:spacing w:before="0" w:after="283"/>
              <w:jc w:val="left"/>
              <w:rPr>
                <w:sz w:val="4"/>
                <w:szCs w:val="4"/>
              </w:rPr>
            </w:pPr>
            <w:r>
              <w:rPr>
                <w:sz w:val="4"/>
                <w:szCs w:val="4"/>
              </w:rPr>
            </w:r>
          </w:p>
        </w:tc>
        <w:tc>
          <w:tcPr>
            <w:tcW w:w="308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Brad A. Wheeler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 w:type="dxa"/>
            <w:tcBorders>
              <w:bottom w:val="single" w:sz="6" w:space="0" w:color="000000"/>
            </w:tcBorders>
            <w:tcMar>
              <w:bottom w:w="80" w:type="dxa"/>
            </w:tcMar>
            <w:vAlign w:val="center"/>
          </w:tcPr>
          <w:p>
            <w:pPr>
              <w:pStyle w:val="TableContents"/>
              <w:bidi w:val="0"/>
              <w:spacing w:before="0" w:after="283"/>
              <w:jc w:val="left"/>
              <w:rPr/>
            </w:pPr>
            <w:r>
              <w:rPr/>
              <w:t> </w:t>
            </w:r>
          </w:p>
        </w:tc>
        <w:tc>
          <w:tcPr>
            <w:tcW w:w="1346" w:type="dxa"/>
            <w:tcBorders>
              <w:bottom w:val="single" w:sz="6" w:space="0" w:color="000000"/>
            </w:tcBorders>
            <w:tcMar>
              <w:bottom w:w="80" w:type="dxa"/>
            </w:tcMar>
            <w:vAlign w:val="center"/>
          </w:tcPr>
          <w:p>
            <w:pPr>
              <w:pStyle w:val="TableContents"/>
              <w:bidi w:val="0"/>
              <w:spacing w:before="0" w:after="283"/>
              <w:jc w:val="right"/>
              <w:rPr/>
            </w:pPr>
            <w:r>
              <w:rPr/>
              <w:t>Stock</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 w:type="dxa"/>
            <w:tcBorders>
              <w:bottom w:val="single" w:sz="6" w:space="0" w:color="000000"/>
            </w:tcBorders>
            <w:tcMar>
              <w:bottom w:w="80" w:type="dxa"/>
            </w:tcMar>
            <w:vAlign w:val="center"/>
          </w:tcPr>
          <w:p>
            <w:pPr>
              <w:pStyle w:val="TableContents"/>
              <w:bidi w:val="0"/>
              <w:spacing w:before="0" w:after="283"/>
              <w:jc w:val="left"/>
              <w:rPr/>
            </w:pPr>
            <w:r>
              <w:rPr/>
              <w:t> </w:t>
            </w:r>
          </w:p>
        </w:tc>
        <w:tc>
          <w:tcPr>
            <w:tcW w:w="1998" w:type="dxa"/>
            <w:tcBorders>
              <w:bottom w:val="single" w:sz="6" w:space="0" w:color="000000"/>
            </w:tcBorders>
            <w:tcMar>
              <w:bottom w:w="80" w:type="dxa"/>
            </w:tcMar>
            <w:vAlign w:val="center"/>
          </w:tcPr>
          <w:p>
            <w:pPr>
              <w:pStyle w:val="TableContents"/>
              <w:bidi w:val="0"/>
              <w:spacing w:before="0" w:after="283"/>
              <w:jc w:val="right"/>
              <w:rPr/>
            </w:pPr>
            <w:r>
              <w:rPr/>
              <w:t>850,839</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2319" w:type="dxa"/>
            <w:tcBorders>
              <w:bottom w:val="single" w:sz="6" w:space="0" w:color="000000"/>
            </w:tcBorders>
            <w:tcMar>
              <w:bottom w:w="80" w:type="dxa"/>
            </w:tcMar>
            <w:vAlign w:val="center"/>
          </w:tcPr>
          <w:p>
            <w:pPr>
              <w:pStyle w:val="TableContents"/>
              <w:bidi w:val="0"/>
              <w:spacing w:before="0" w:after="283"/>
              <w:jc w:val="right"/>
              <w:rPr/>
            </w:pPr>
            <w:r>
              <w:rPr/>
              <w:t>850,839</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80" w:type="dxa"/>
            </w:tcMar>
            <w:vAlign w:val="center"/>
          </w:tcPr>
          <w:p>
            <w:pPr>
              <w:pStyle w:val="TableContents"/>
              <w:bidi w:val="0"/>
              <w:spacing w:before="0" w:after="283"/>
              <w:jc w:val="left"/>
              <w:rPr/>
            </w:pPr>
            <w:r>
              <w:rPr/>
              <w:t> </w:t>
            </w:r>
          </w:p>
        </w:tc>
        <w:tc>
          <w:tcPr>
            <w:tcW w:w="2730" w:type="dxa"/>
            <w:tcBorders>
              <w:bottom w:val="single" w:sz="6" w:space="0" w:color="000000"/>
            </w:tcBorders>
            <w:tcMar>
              <w:bottom w:w="80" w:type="dxa"/>
            </w:tcMar>
            <w:vAlign w:val="center"/>
          </w:tcPr>
          <w:p>
            <w:pPr>
              <w:pStyle w:val="TableContents"/>
              <w:bidi w:val="0"/>
              <w:spacing w:before="0" w:after="283"/>
              <w:jc w:val="right"/>
              <w:rPr/>
            </w:pPr>
            <w:r>
              <w:rPr/>
              <w:t>—</w:t>
            </w:r>
          </w:p>
        </w:tc>
        <w:tc>
          <w:tcPr>
            <w:tcW w:w="75" w:type="dxa"/>
            <w:tcBorders>
              <w:bottom w:val="single" w:sz="6" w:space="0" w:color="000000"/>
            </w:tcBorders>
            <w:tcMar>
              <w:bottom w:w="80" w:type="dxa"/>
            </w:tcM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630" w:type="dxa"/>
            <w:gridSpan w:val="4"/>
            <w:tcBorders/>
            <w:vAlign w:val="center"/>
          </w:tcPr>
          <w:p>
            <w:pPr>
              <w:pStyle w:val="TableContents"/>
              <w:bidi w:val="0"/>
              <w:spacing w:before="0" w:after="283"/>
              <w:jc w:val="left"/>
              <w:rPr>
                <w:sz w:val="4"/>
                <w:szCs w:val="4"/>
              </w:rPr>
            </w:pPr>
            <w:r>
              <w:rPr>
                <w:sz w:val="4"/>
                <w:szCs w:val="4"/>
              </w:rPr>
            </w:r>
          </w:p>
        </w:tc>
        <w:tc>
          <w:tcPr>
            <w:tcW w:w="308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 w:type="dxa"/>
            <w:tcBorders>
              <w:bottom w:val="single" w:sz="6" w:space="0" w:color="000000"/>
            </w:tcBorders>
            <w:tcMar>
              <w:bottom w:w="80" w:type="dxa"/>
            </w:tcMar>
            <w:vAlign w:val="center"/>
          </w:tcPr>
          <w:p>
            <w:pPr>
              <w:pStyle w:val="TableContents"/>
              <w:bidi w:val="0"/>
              <w:spacing w:before="0" w:after="283"/>
              <w:jc w:val="left"/>
              <w:rPr/>
            </w:pPr>
            <w:r>
              <w:rPr/>
              <w:t> </w:t>
            </w:r>
          </w:p>
        </w:tc>
        <w:tc>
          <w:tcPr>
            <w:tcW w:w="1346" w:type="dxa"/>
            <w:tcBorders>
              <w:bottom w:val="single" w:sz="6" w:space="0" w:color="000000"/>
            </w:tcBorders>
            <w:tcMar>
              <w:bottom w:w="80" w:type="dxa"/>
            </w:tcMar>
            <w:vAlign w:val="center"/>
          </w:tcPr>
          <w:p>
            <w:pPr>
              <w:pStyle w:val="TableContents"/>
              <w:bidi w:val="0"/>
              <w:spacing w:before="0" w:after="283"/>
              <w:jc w:val="right"/>
              <w:rPr/>
            </w:pPr>
            <w:r>
              <w:rPr/>
              <w:t>Cash</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 w:type="dxa"/>
            <w:tcBorders>
              <w:bottom w:val="single" w:sz="6" w:space="0" w:color="000000"/>
            </w:tcBorders>
            <w:tcMar>
              <w:bottom w:w="80" w:type="dxa"/>
            </w:tcMar>
            <w:vAlign w:val="center"/>
          </w:tcPr>
          <w:p>
            <w:pPr>
              <w:pStyle w:val="TableContents"/>
              <w:bidi w:val="0"/>
              <w:spacing w:before="0" w:after="283"/>
              <w:jc w:val="left"/>
              <w:rPr/>
            </w:pPr>
            <w:r>
              <w:rPr/>
              <w:t> </w:t>
            </w:r>
          </w:p>
        </w:tc>
        <w:tc>
          <w:tcPr>
            <w:tcW w:w="1998" w:type="dxa"/>
            <w:tcBorders>
              <w:bottom w:val="single" w:sz="6" w:space="0" w:color="000000"/>
            </w:tcBorders>
            <w:tcMar>
              <w:bottom w:w="80" w:type="dxa"/>
            </w:tcMar>
            <w:vAlign w:val="center"/>
          </w:tcPr>
          <w:p>
            <w:pPr>
              <w:pStyle w:val="TableContents"/>
              <w:bidi w:val="0"/>
              <w:spacing w:before="0" w:after="283"/>
              <w:jc w:val="right"/>
              <w:rPr/>
            </w:pPr>
            <w:r>
              <w:rPr/>
              <w:t>—</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2319" w:type="dxa"/>
            <w:tcBorders>
              <w:bottom w:val="single" w:sz="6" w:space="0" w:color="000000"/>
            </w:tcBorders>
            <w:tcMar>
              <w:bottom w:w="80" w:type="dxa"/>
            </w:tcMar>
            <w:vAlign w:val="center"/>
          </w:tcPr>
          <w:p>
            <w:pPr>
              <w:pStyle w:val="TableContents"/>
              <w:bidi w:val="0"/>
              <w:spacing w:before="0" w:after="283"/>
              <w:jc w:val="right"/>
              <w:rPr/>
            </w:pPr>
            <w:r>
              <w:rPr/>
              <w:t>—</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80" w:type="dxa"/>
            </w:tcMar>
            <w:vAlign w:val="center"/>
          </w:tcPr>
          <w:p>
            <w:pPr>
              <w:pStyle w:val="TableContents"/>
              <w:bidi w:val="0"/>
              <w:spacing w:before="0" w:after="283"/>
              <w:jc w:val="left"/>
              <w:rPr/>
            </w:pPr>
            <w:r>
              <w:rPr/>
              <w:t> </w:t>
            </w:r>
          </w:p>
        </w:tc>
        <w:tc>
          <w:tcPr>
            <w:tcW w:w="2730" w:type="dxa"/>
            <w:tcBorders>
              <w:bottom w:val="single" w:sz="6" w:space="0" w:color="000000"/>
            </w:tcBorders>
            <w:tcMar>
              <w:bottom w:w="80" w:type="dxa"/>
            </w:tcMar>
            <w:vAlign w:val="center"/>
          </w:tcPr>
          <w:p>
            <w:pPr>
              <w:pStyle w:val="TableContents"/>
              <w:bidi w:val="0"/>
              <w:spacing w:before="0" w:after="283"/>
              <w:jc w:val="right"/>
              <w:rPr/>
            </w:pPr>
            <w:r>
              <w:rPr/>
              <w:t>—</w:t>
            </w:r>
          </w:p>
        </w:tc>
        <w:tc>
          <w:tcPr>
            <w:tcW w:w="75" w:type="dxa"/>
            <w:tcBorders>
              <w:bottom w:val="single" w:sz="6" w:space="0" w:color="000000"/>
            </w:tcBorders>
            <w:tcMar>
              <w:bottom w:w="80" w:type="dxa"/>
            </w:tcMar>
            <w:vAlign w:val="center"/>
          </w:tcPr>
          <w:p>
            <w:pPr>
              <w:pStyle w:val="TableContents"/>
              <w:bidi w:val="0"/>
              <w:spacing w:before="0" w:after="283"/>
              <w:jc w:val="left"/>
              <w:rPr/>
            </w:pPr>
            <w:r>
              <w:rPr/>
              <w:t> </w:t>
            </w:r>
          </w:p>
        </w:tc>
      </w:tr>
      <w:tr>
        <w:trPr/>
        <w:tc>
          <w:tcPr>
            <w:tcW w:w="935" w:type="dxa"/>
            <w:tcBorders/>
            <w:shd w:fill="D5DBE3" w:val="clear"/>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630" w:type="dxa"/>
            <w:gridSpan w:val="4"/>
            <w:tcBorders/>
            <w:vAlign w:val="center"/>
          </w:tcPr>
          <w:p>
            <w:pPr>
              <w:pStyle w:val="TableContents"/>
              <w:bidi w:val="0"/>
              <w:spacing w:before="0" w:after="283"/>
              <w:jc w:val="left"/>
              <w:rPr>
                <w:sz w:val="4"/>
                <w:szCs w:val="4"/>
              </w:rPr>
            </w:pPr>
            <w:r>
              <w:rPr>
                <w:sz w:val="4"/>
                <w:szCs w:val="4"/>
              </w:rPr>
            </w:r>
          </w:p>
        </w:tc>
        <w:tc>
          <w:tcPr>
            <w:tcW w:w="308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W. Jeffrey Hire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 w:type="dxa"/>
            <w:tcBorders>
              <w:bottom w:val="single" w:sz="6" w:space="0" w:color="000000"/>
            </w:tcBorders>
            <w:tcMar>
              <w:bottom w:w="80" w:type="dxa"/>
            </w:tcMar>
            <w:vAlign w:val="center"/>
          </w:tcPr>
          <w:p>
            <w:pPr>
              <w:pStyle w:val="TableContents"/>
              <w:bidi w:val="0"/>
              <w:spacing w:before="0" w:after="283"/>
              <w:jc w:val="left"/>
              <w:rPr/>
            </w:pPr>
            <w:r>
              <w:rPr/>
              <w:t> </w:t>
            </w:r>
          </w:p>
        </w:tc>
        <w:tc>
          <w:tcPr>
            <w:tcW w:w="1346" w:type="dxa"/>
            <w:tcBorders>
              <w:bottom w:val="single" w:sz="6" w:space="0" w:color="000000"/>
            </w:tcBorders>
            <w:tcMar>
              <w:bottom w:w="80" w:type="dxa"/>
            </w:tcMar>
            <w:vAlign w:val="center"/>
          </w:tcPr>
          <w:p>
            <w:pPr>
              <w:pStyle w:val="TableContents"/>
              <w:bidi w:val="0"/>
              <w:spacing w:before="0" w:after="283"/>
              <w:jc w:val="right"/>
              <w:rPr/>
            </w:pPr>
            <w:r>
              <w:rPr/>
              <w:t>Stock</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 w:type="dxa"/>
            <w:tcBorders>
              <w:bottom w:val="single" w:sz="6" w:space="0" w:color="000000"/>
            </w:tcBorders>
            <w:tcMar>
              <w:bottom w:w="80" w:type="dxa"/>
            </w:tcMar>
            <w:vAlign w:val="center"/>
          </w:tcPr>
          <w:p>
            <w:pPr>
              <w:pStyle w:val="TableContents"/>
              <w:bidi w:val="0"/>
              <w:spacing w:before="0" w:after="283"/>
              <w:jc w:val="left"/>
              <w:rPr/>
            </w:pPr>
            <w:r>
              <w:rPr/>
              <w:t> </w:t>
            </w:r>
          </w:p>
        </w:tc>
        <w:tc>
          <w:tcPr>
            <w:tcW w:w="1998" w:type="dxa"/>
            <w:tcBorders>
              <w:bottom w:val="single" w:sz="6" w:space="0" w:color="000000"/>
            </w:tcBorders>
            <w:tcMar>
              <w:bottom w:w="80" w:type="dxa"/>
            </w:tcMar>
            <w:vAlign w:val="center"/>
          </w:tcPr>
          <w:p>
            <w:pPr>
              <w:pStyle w:val="TableContents"/>
              <w:bidi w:val="0"/>
              <w:spacing w:before="0" w:after="283"/>
              <w:jc w:val="right"/>
              <w:rPr/>
            </w:pPr>
            <w:r>
              <w:rPr/>
              <w:t>1,558,849</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2319" w:type="dxa"/>
            <w:tcBorders>
              <w:bottom w:val="single" w:sz="6" w:space="0" w:color="000000"/>
            </w:tcBorders>
            <w:tcMar>
              <w:bottom w:w="80" w:type="dxa"/>
            </w:tcMar>
            <w:vAlign w:val="center"/>
          </w:tcPr>
          <w:p>
            <w:pPr>
              <w:pStyle w:val="TableContents"/>
              <w:bidi w:val="0"/>
              <w:spacing w:before="0" w:after="283"/>
              <w:jc w:val="right"/>
              <w:rPr/>
            </w:pPr>
            <w:r>
              <w:rPr/>
              <w:t>1,558,849</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80" w:type="dxa"/>
            </w:tcMar>
            <w:vAlign w:val="center"/>
          </w:tcPr>
          <w:p>
            <w:pPr>
              <w:pStyle w:val="TableContents"/>
              <w:bidi w:val="0"/>
              <w:spacing w:before="0" w:after="283"/>
              <w:jc w:val="left"/>
              <w:rPr/>
            </w:pPr>
            <w:r>
              <w:rPr/>
              <w:t> </w:t>
            </w:r>
          </w:p>
        </w:tc>
        <w:tc>
          <w:tcPr>
            <w:tcW w:w="2730" w:type="dxa"/>
            <w:tcBorders>
              <w:bottom w:val="single" w:sz="6" w:space="0" w:color="000000"/>
            </w:tcBorders>
            <w:tcMar>
              <w:bottom w:w="80" w:type="dxa"/>
            </w:tcMar>
            <w:vAlign w:val="center"/>
          </w:tcPr>
          <w:p>
            <w:pPr>
              <w:pStyle w:val="TableContents"/>
              <w:bidi w:val="0"/>
              <w:spacing w:before="0" w:after="283"/>
              <w:jc w:val="right"/>
              <w:rPr/>
            </w:pPr>
            <w:r>
              <w:rPr/>
              <w:t>—</w:t>
            </w:r>
          </w:p>
        </w:tc>
        <w:tc>
          <w:tcPr>
            <w:tcW w:w="75" w:type="dxa"/>
            <w:tcBorders>
              <w:bottom w:val="single" w:sz="6" w:space="0" w:color="000000"/>
            </w:tcBorders>
            <w:tcMar>
              <w:bottom w:w="80" w:type="dxa"/>
            </w:tcM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630" w:type="dxa"/>
            <w:gridSpan w:val="4"/>
            <w:tcBorders/>
            <w:vAlign w:val="center"/>
          </w:tcPr>
          <w:p>
            <w:pPr>
              <w:pStyle w:val="TableContents"/>
              <w:bidi w:val="0"/>
              <w:spacing w:before="0" w:after="283"/>
              <w:jc w:val="left"/>
              <w:rPr>
                <w:sz w:val="4"/>
                <w:szCs w:val="4"/>
              </w:rPr>
            </w:pPr>
            <w:r>
              <w:rPr>
                <w:sz w:val="4"/>
                <w:szCs w:val="4"/>
              </w:rPr>
            </w:r>
          </w:p>
        </w:tc>
        <w:tc>
          <w:tcPr>
            <w:tcW w:w="308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 w:type="dxa"/>
            <w:tcBorders>
              <w:bottom w:val="single" w:sz="6" w:space="0" w:color="000000"/>
            </w:tcBorders>
            <w:tcMar>
              <w:bottom w:w="80" w:type="dxa"/>
            </w:tcMar>
            <w:vAlign w:val="center"/>
          </w:tcPr>
          <w:p>
            <w:pPr>
              <w:pStyle w:val="TableContents"/>
              <w:bidi w:val="0"/>
              <w:spacing w:before="0" w:after="283"/>
              <w:jc w:val="left"/>
              <w:rPr/>
            </w:pPr>
            <w:r>
              <w:rPr/>
              <w:t> </w:t>
            </w:r>
          </w:p>
        </w:tc>
        <w:tc>
          <w:tcPr>
            <w:tcW w:w="1346" w:type="dxa"/>
            <w:tcBorders>
              <w:bottom w:val="single" w:sz="6" w:space="0" w:color="000000"/>
            </w:tcBorders>
            <w:tcMar>
              <w:bottom w:w="80" w:type="dxa"/>
            </w:tcMar>
            <w:vAlign w:val="center"/>
          </w:tcPr>
          <w:p>
            <w:pPr>
              <w:pStyle w:val="TableContents"/>
              <w:bidi w:val="0"/>
              <w:spacing w:before="0" w:after="283"/>
              <w:jc w:val="right"/>
              <w:rPr/>
            </w:pPr>
            <w:r>
              <w:rPr/>
              <w:t>Cash</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 w:type="dxa"/>
            <w:tcBorders>
              <w:bottom w:val="single" w:sz="6" w:space="0" w:color="000000"/>
            </w:tcBorders>
            <w:tcMar>
              <w:bottom w:w="80" w:type="dxa"/>
            </w:tcMar>
            <w:vAlign w:val="center"/>
          </w:tcPr>
          <w:p>
            <w:pPr>
              <w:pStyle w:val="TableContents"/>
              <w:bidi w:val="0"/>
              <w:spacing w:before="0" w:after="283"/>
              <w:jc w:val="left"/>
              <w:rPr/>
            </w:pPr>
            <w:r>
              <w:rPr/>
              <w:t> </w:t>
            </w:r>
          </w:p>
        </w:tc>
        <w:tc>
          <w:tcPr>
            <w:tcW w:w="1998" w:type="dxa"/>
            <w:tcBorders>
              <w:bottom w:val="single" w:sz="6" w:space="0" w:color="000000"/>
            </w:tcBorders>
            <w:tcMar>
              <w:bottom w:w="80" w:type="dxa"/>
            </w:tcMar>
            <w:vAlign w:val="center"/>
          </w:tcPr>
          <w:p>
            <w:pPr>
              <w:pStyle w:val="TableContents"/>
              <w:bidi w:val="0"/>
              <w:spacing w:before="0" w:after="283"/>
              <w:jc w:val="right"/>
              <w:rPr/>
            </w:pPr>
            <w:r>
              <w:rPr/>
              <w:t>—</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2319" w:type="dxa"/>
            <w:tcBorders>
              <w:bottom w:val="single" w:sz="6" w:space="0" w:color="000000"/>
            </w:tcBorders>
            <w:tcMar>
              <w:bottom w:w="80" w:type="dxa"/>
            </w:tcMar>
            <w:vAlign w:val="center"/>
          </w:tcPr>
          <w:p>
            <w:pPr>
              <w:pStyle w:val="TableContents"/>
              <w:bidi w:val="0"/>
              <w:spacing w:before="0" w:after="283"/>
              <w:jc w:val="right"/>
              <w:rPr/>
            </w:pPr>
            <w:r>
              <w:rPr/>
              <w:t>—</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80" w:type="dxa"/>
            </w:tcMar>
            <w:vAlign w:val="center"/>
          </w:tcPr>
          <w:p>
            <w:pPr>
              <w:pStyle w:val="TableContents"/>
              <w:bidi w:val="0"/>
              <w:spacing w:before="0" w:after="283"/>
              <w:jc w:val="left"/>
              <w:rPr/>
            </w:pPr>
            <w:r>
              <w:rPr/>
              <w:t> </w:t>
            </w:r>
          </w:p>
        </w:tc>
        <w:tc>
          <w:tcPr>
            <w:tcW w:w="2730" w:type="dxa"/>
            <w:tcBorders>
              <w:bottom w:val="single" w:sz="6" w:space="0" w:color="000000"/>
            </w:tcBorders>
            <w:tcMar>
              <w:bottom w:w="80" w:type="dxa"/>
            </w:tcMar>
            <w:vAlign w:val="center"/>
          </w:tcPr>
          <w:p>
            <w:pPr>
              <w:pStyle w:val="TableContents"/>
              <w:bidi w:val="0"/>
              <w:spacing w:before="0" w:after="283"/>
              <w:jc w:val="right"/>
              <w:rPr/>
            </w:pPr>
            <w:r>
              <w:rPr/>
              <w:t>—</w:t>
            </w:r>
          </w:p>
        </w:tc>
        <w:tc>
          <w:tcPr>
            <w:tcW w:w="75" w:type="dxa"/>
            <w:tcBorders>
              <w:bottom w:val="single" w:sz="6" w:space="0" w:color="000000"/>
            </w:tcBorders>
            <w:tcMar>
              <w:bottom w:w="80" w:type="dxa"/>
            </w:tcMar>
            <w:vAlign w:val="center"/>
          </w:tcPr>
          <w:p>
            <w:pPr>
              <w:pStyle w:val="TableContents"/>
              <w:bidi w:val="0"/>
              <w:spacing w:before="0" w:after="283"/>
              <w:jc w:val="left"/>
              <w:rPr/>
            </w:pPr>
            <w:r>
              <w:rPr/>
              <w:t> </w:t>
            </w:r>
          </w:p>
        </w:tc>
      </w:tr>
      <w:tr>
        <w:trPr/>
        <w:tc>
          <w:tcPr>
            <w:tcW w:w="935" w:type="dxa"/>
            <w:tcBorders/>
            <w:shd w:fill="D5DBE3" w:val="clear"/>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630" w:type="dxa"/>
            <w:gridSpan w:val="4"/>
            <w:tcBorders/>
            <w:vAlign w:val="center"/>
          </w:tcPr>
          <w:p>
            <w:pPr>
              <w:pStyle w:val="TableContents"/>
              <w:bidi w:val="0"/>
              <w:spacing w:before="0" w:after="283"/>
              <w:jc w:val="left"/>
              <w:rPr>
                <w:sz w:val="4"/>
                <w:szCs w:val="4"/>
              </w:rPr>
            </w:pPr>
            <w:r>
              <w:rPr>
                <w:sz w:val="4"/>
                <w:szCs w:val="4"/>
              </w:rPr>
            </w:r>
          </w:p>
        </w:tc>
        <w:tc>
          <w:tcPr>
            <w:tcW w:w="308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6" w:space="0" w:color="000000"/>
            </w:tcBorders>
            <w:shd w:fill="D5DBE3" w:val="clear"/>
            <w:tcMar>
              <w:bottom w:w="80" w:type="dxa"/>
            </w:tcMar>
            <w:vAlign w:val="center"/>
          </w:tcPr>
          <w:p>
            <w:pPr>
              <w:pStyle w:val="TableContents"/>
              <w:bidi w:val="0"/>
              <w:spacing w:before="0" w:after="0"/>
              <w:jc w:val="left"/>
              <w:rPr/>
            </w:pPr>
            <w:r>
              <w:rPr/>
              <w:t> </w:t>
            </w:r>
            <w:r>
              <w:rPr>
                <w:rFonts w:ascii="arial" w:hAnsi="arial"/>
                <w:sz w:val="20"/>
              </w:rPr>
              <w:t>Jason R. Niswonger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 w:type="dxa"/>
            <w:tcBorders>
              <w:bottom w:val="single" w:sz="6" w:space="0" w:color="000000"/>
            </w:tcBorders>
            <w:tcMar>
              <w:bottom w:w="80" w:type="dxa"/>
            </w:tcMar>
            <w:vAlign w:val="center"/>
          </w:tcPr>
          <w:p>
            <w:pPr>
              <w:pStyle w:val="TableContents"/>
              <w:bidi w:val="0"/>
              <w:spacing w:before="0" w:after="283"/>
              <w:jc w:val="left"/>
              <w:rPr/>
            </w:pPr>
            <w:r>
              <w:rPr/>
              <w:t> </w:t>
            </w:r>
          </w:p>
        </w:tc>
        <w:tc>
          <w:tcPr>
            <w:tcW w:w="1346" w:type="dxa"/>
            <w:tcBorders>
              <w:bottom w:val="single" w:sz="6" w:space="0" w:color="000000"/>
            </w:tcBorders>
            <w:tcMar>
              <w:bottom w:w="80" w:type="dxa"/>
            </w:tcMar>
            <w:vAlign w:val="center"/>
          </w:tcPr>
          <w:p>
            <w:pPr>
              <w:pStyle w:val="TableContents"/>
              <w:bidi w:val="0"/>
              <w:spacing w:before="0" w:after="283"/>
              <w:jc w:val="right"/>
              <w:rPr/>
            </w:pPr>
            <w:r>
              <w:rPr/>
              <w:t>Stock</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 w:type="dxa"/>
            <w:tcBorders>
              <w:bottom w:val="single" w:sz="6" w:space="0" w:color="000000"/>
            </w:tcBorders>
            <w:tcMar>
              <w:bottom w:w="80" w:type="dxa"/>
            </w:tcMar>
            <w:vAlign w:val="center"/>
          </w:tcPr>
          <w:p>
            <w:pPr>
              <w:pStyle w:val="TableContents"/>
              <w:bidi w:val="0"/>
              <w:spacing w:before="0" w:after="283"/>
              <w:jc w:val="left"/>
              <w:rPr/>
            </w:pPr>
            <w:r>
              <w:rPr/>
              <w:t> </w:t>
            </w:r>
          </w:p>
        </w:tc>
        <w:tc>
          <w:tcPr>
            <w:tcW w:w="1998" w:type="dxa"/>
            <w:tcBorders>
              <w:bottom w:val="single" w:sz="6" w:space="0" w:color="000000"/>
            </w:tcBorders>
            <w:tcMar>
              <w:bottom w:w="80" w:type="dxa"/>
            </w:tcMar>
            <w:vAlign w:val="center"/>
          </w:tcPr>
          <w:p>
            <w:pPr>
              <w:pStyle w:val="TableContents"/>
              <w:bidi w:val="0"/>
              <w:spacing w:before="0" w:after="283"/>
              <w:jc w:val="right"/>
              <w:rPr/>
            </w:pPr>
            <w:r>
              <w:rPr/>
              <w:t>965,978</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 w:type="dxa"/>
            <w:tcBorders>
              <w:bottom w:val="single" w:sz="6" w:space="0" w:color="000000"/>
            </w:tcBorders>
            <w:tcMar>
              <w:bottom w:w="80" w:type="dxa"/>
            </w:tcMar>
            <w:vAlign w:val="center"/>
          </w:tcPr>
          <w:p>
            <w:pPr>
              <w:pStyle w:val="TableContents"/>
              <w:bidi w:val="0"/>
              <w:spacing w:before="0" w:after="283"/>
              <w:jc w:val="left"/>
              <w:rPr/>
            </w:pPr>
            <w:r>
              <w:rPr/>
              <w:t> </w:t>
            </w:r>
          </w:p>
        </w:tc>
        <w:tc>
          <w:tcPr>
            <w:tcW w:w="2319" w:type="dxa"/>
            <w:tcBorders>
              <w:bottom w:val="single" w:sz="6" w:space="0" w:color="000000"/>
            </w:tcBorders>
            <w:tcMar>
              <w:bottom w:w="80" w:type="dxa"/>
            </w:tcMar>
            <w:vAlign w:val="center"/>
          </w:tcPr>
          <w:p>
            <w:pPr>
              <w:pStyle w:val="TableContents"/>
              <w:bidi w:val="0"/>
              <w:spacing w:before="0" w:after="283"/>
              <w:jc w:val="right"/>
              <w:rPr/>
            </w:pPr>
            <w:r>
              <w:rPr/>
              <w:t>965,978</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80" w:type="dxa"/>
            </w:tcMar>
            <w:vAlign w:val="center"/>
          </w:tcPr>
          <w:p>
            <w:pPr>
              <w:pStyle w:val="TableContents"/>
              <w:bidi w:val="0"/>
              <w:spacing w:before="0" w:after="283"/>
              <w:jc w:val="left"/>
              <w:rPr/>
            </w:pPr>
            <w:r>
              <w:rPr/>
              <w:t> </w:t>
            </w:r>
          </w:p>
        </w:tc>
        <w:tc>
          <w:tcPr>
            <w:tcW w:w="2730" w:type="dxa"/>
            <w:tcBorders>
              <w:bottom w:val="single" w:sz="6" w:space="0" w:color="000000"/>
            </w:tcBorders>
            <w:tcMar>
              <w:bottom w:w="80" w:type="dxa"/>
            </w:tcMar>
            <w:vAlign w:val="center"/>
          </w:tcPr>
          <w:p>
            <w:pPr>
              <w:pStyle w:val="TableContents"/>
              <w:bidi w:val="0"/>
              <w:spacing w:before="0" w:after="283"/>
              <w:jc w:val="right"/>
              <w:rPr/>
            </w:pPr>
            <w:r>
              <w:rPr/>
              <w:t>—</w:t>
            </w:r>
          </w:p>
        </w:tc>
        <w:tc>
          <w:tcPr>
            <w:tcW w:w="75" w:type="dxa"/>
            <w:tcBorders>
              <w:bottom w:val="single" w:sz="6" w:space="0" w:color="000000"/>
            </w:tcBorders>
            <w:tcMar>
              <w:bottom w:w="80" w:type="dxa"/>
            </w:tcM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630" w:type="dxa"/>
            <w:gridSpan w:val="4"/>
            <w:tcBorders/>
            <w:vAlign w:val="center"/>
          </w:tcPr>
          <w:p>
            <w:pPr>
              <w:pStyle w:val="TableContents"/>
              <w:bidi w:val="0"/>
              <w:spacing w:before="0" w:after="283"/>
              <w:jc w:val="left"/>
              <w:rPr>
                <w:sz w:val="4"/>
                <w:szCs w:val="4"/>
              </w:rPr>
            </w:pPr>
            <w:r>
              <w:rPr>
                <w:sz w:val="4"/>
                <w:szCs w:val="4"/>
              </w:rPr>
            </w:r>
          </w:p>
        </w:tc>
        <w:tc>
          <w:tcPr>
            <w:tcW w:w="308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44" w:type="dxa"/>
            <w:tcBorders>
              <w:bottom w:val="single" w:sz="12" w:space="0" w:color="1070B8"/>
            </w:tcBorders>
            <w:tcMar>
              <w:bottom w:w="80" w:type="dxa"/>
            </w:tcMar>
            <w:vAlign w:val="center"/>
          </w:tcPr>
          <w:p>
            <w:pPr>
              <w:pStyle w:val="TableContents"/>
              <w:bidi w:val="0"/>
              <w:spacing w:before="0" w:after="283"/>
              <w:jc w:val="left"/>
              <w:rPr/>
            </w:pPr>
            <w:r>
              <w:rPr/>
              <w:t> </w:t>
            </w:r>
          </w:p>
        </w:tc>
        <w:tc>
          <w:tcPr>
            <w:tcW w:w="1346" w:type="dxa"/>
            <w:tcBorders>
              <w:bottom w:val="single" w:sz="12" w:space="0" w:color="1070B8"/>
            </w:tcBorders>
            <w:tcMar>
              <w:bottom w:w="80" w:type="dxa"/>
            </w:tcMar>
            <w:vAlign w:val="center"/>
          </w:tcPr>
          <w:p>
            <w:pPr>
              <w:pStyle w:val="TableContents"/>
              <w:bidi w:val="0"/>
              <w:spacing w:before="0" w:after="283"/>
              <w:jc w:val="right"/>
              <w:rPr/>
            </w:pPr>
            <w:r>
              <w:rPr/>
              <w:t>Cash</w:t>
            </w:r>
          </w:p>
        </w:tc>
        <w:tc>
          <w:tcPr>
            <w:tcW w:w="60" w:type="dxa"/>
            <w:tcBorders>
              <w:bottom w:val="single" w:sz="12" w:space="0" w:color="1070B8"/>
            </w:tcBorders>
            <w:tcMar>
              <w:bottom w:w="80"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2" w:type="dxa"/>
            <w:tcBorders>
              <w:bottom w:val="single" w:sz="12" w:space="0" w:color="1070B8"/>
            </w:tcBorders>
            <w:tcMar>
              <w:bottom w:w="80" w:type="dxa"/>
            </w:tcMar>
            <w:vAlign w:val="center"/>
          </w:tcPr>
          <w:p>
            <w:pPr>
              <w:pStyle w:val="TableContents"/>
              <w:bidi w:val="0"/>
              <w:spacing w:before="0" w:after="283"/>
              <w:jc w:val="left"/>
              <w:rPr/>
            </w:pPr>
            <w:r>
              <w:rPr/>
              <w:t> </w:t>
            </w:r>
          </w:p>
        </w:tc>
        <w:tc>
          <w:tcPr>
            <w:tcW w:w="1998" w:type="dxa"/>
            <w:tcBorders>
              <w:bottom w:val="single" w:sz="12" w:space="0" w:color="1070B8"/>
            </w:tcBorders>
            <w:tcMar>
              <w:bottom w:w="80" w:type="dxa"/>
            </w:tcMar>
            <w:vAlign w:val="center"/>
          </w:tcPr>
          <w:p>
            <w:pPr>
              <w:pStyle w:val="TableContents"/>
              <w:bidi w:val="0"/>
              <w:spacing w:before="0" w:after="283"/>
              <w:jc w:val="right"/>
              <w:rPr/>
            </w:pPr>
            <w:r>
              <w:rPr/>
              <w:t>—</w:t>
            </w:r>
          </w:p>
        </w:tc>
        <w:tc>
          <w:tcPr>
            <w:tcW w:w="60" w:type="dxa"/>
            <w:tcBorders>
              <w:bottom w:val="single" w:sz="12" w:space="0" w:color="1070B8"/>
            </w:tcBorders>
            <w:tcMar>
              <w:bottom w:w="80"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31" w:type="dxa"/>
            <w:tcBorders>
              <w:bottom w:val="single" w:sz="12" w:space="0" w:color="1070B8"/>
            </w:tcBorders>
            <w:tcMar>
              <w:bottom w:w="80" w:type="dxa"/>
            </w:tcMar>
            <w:vAlign w:val="center"/>
          </w:tcPr>
          <w:p>
            <w:pPr>
              <w:pStyle w:val="TableContents"/>
              <w:bidi w:val="0"/>
              <w:spacing w:before="0" w:after="283"/>
              <w:jc w:val="left"/>
              <w:rPr/>
            </w:pPr>
            <w:r>
              <w:rPr/>
              <w:t> </w:t>
            </w:r>
          </w:p>
        </w:tc>
        <w:tc>
          <w:tcPr>
            <w:tcW w:w="2319" w:type="dxa"/>
            <w:tcBorders>
              <w:bottom w:val="single" w:sz="12" w:space="0" w:color="1070B8"/>
            </w:tcBorders>
            <w:tcMar>
              <w:bottom w:w="80" w:type="dxa"/>
            </w:tcMar>
            <w:vAlign w:val="center"/>
          </w:tcPr>
          <w:p>
            <w:pPr>
              <w:pStyle w:val="TableContents"/>
              <w:bidi w:val="0"/>
              <w:spacing w:before="0" w:after="283"/>
              <w:jc w:val="right"/>
              <w:rPr/>
            </w:pPr>
            <w:r>
              <w:rPr/>
              <w:t>—</w:t>
            </w:r>
          </w:p>
        </w:tc>
        <w:tc>
          <w:tcPr>
            <w:tcW w:w="60" w:type="dxa"/>
            <w:tcBorders>
              <w:bottom w:val="single" w:sz="12" w:space="0" w:color="1070B8"/>
            </w:tcBorders>
            <w:tcMar>
              <w:bottom w:w="80"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55" w:type="dxa"/>
            <w:tcBorders>
              <w:bottom w:val="single" w:sz="12" w:space="0" w:color="1070B8"/>
            </w:tcBorders>
            <w:tcMar>
              <w:bottom w:w="80" w:type="dxa"/>
            </w:tcMar>
            <w:vAlign w:val="center"/>
          </w:tcPr>
          <w:p>
            <w:pPr>
              <w:pStyle w:val="TableContents"/>
              <w:bidi w:val="0"/>
              <w:spacing w:before="0" w:after="283"/>
              <w:jc w:val="left"/>
              <w:rPr/>
            </w:pPr>
            <w:r>
              <w:rPr/>
              <w:t> </w:t>
            </w:r>
          </w:p>
        </w:tc>
        <w:tc>
          <w:tcPr>
            <w:tcW w:w="2730" w:type="dxa"/>
            <w:tcBorders>
              <w:bottom w:val="single" w:sz="12" w:space="0" w:color="1070B8"/>
            </w:tcBorders>
            <w:tcMar>
              <w:bottom w:w="80" w:type="dxa"/>
            </w:tcMar>
            <w:vAlign w:val="center"/>
          </w:tcPr>
          <w:p>
            <w:pPr>
              <w:pStyle w:val="TableContents"/>
              <w:bidi w:val="0"/>
              <w:spacing w:before="0" w:after="283"/>
              <w:jc w:val="right"/>
              <w:rPr/>
            </w:pPr>
            <w:r>
              <w:rPr/>
              <w:t>—</w:t>
            </w:r>
          </w:p>
        </w:tc>
        <w:tc>
          <w:tcPr>
            <w:tcW w:w="75" w:type="dxa"/>
            <w:tcBorders>
              <w:bottom w:val="single" w:sz="12" w:space="0" w:color="1070B8"/>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0"/>
              <w:jc w:val="left"/>
              <w:rPr>
                <w:rFonts w:ascii="arial" w:hAnsi="arial"/>
                <w:sz w:val="20"/>
              </w:rPr>
            </w:pPr>
            <w:r>
              <w:rPr>
                <w:rFonts w:ascii="arial" w:hAnsi="arial"/>
                <w:sz w:val="20"/>
              </w:rPr>
              <w:t xml:space="preserve">If an NEO’s employment is terminated due to death, retirement or disability, the CHC Committee may also, in the exercise of its discretion, determine to waive any limitations placed on performance-based incentive cash awards. The CHC Committee also retains discretion to fully vest stock awards on a Change in Control. </w:t>
            </w:r>
          </w:p>
        </w:tc>
      </w:tr>
    </w:tbl>
    <w:tbl>
      <w:tblPr>
        <w:tblW w:w="7090" w:type="dxa"/>
        <w:jc w:val="left"/>
        <w:tblInd w:w="0" w:type="dxa"/>
        <w:tblLayout w:type="fixed"/>
        <w:tblCellMar>
          <w:top w:w="0" w:type="dxa"/>
          <w:left w:w="0" w:type="dxa"/>
          <w:bottom w:w="0" w:type="dxa"/>
          <w:right w:w="0" w:type="dxa"/>
        </w:tblCellMar>
      </w:tblPr>
      <w:tblGrid>
        <w:gridCol w:w="75"/>
        <w:gridCol w:w="290"/>
        <w:gridCol w:w="67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6725" w:type="dxa"/>
            <w:tcBorders/>
            <w:vAlign w:val="center"/>
          </w:tcPr>
          <w:p>
            <w:pPr>
              <w:pStyle w:val="TableContents"/>
              <w:bidi w:val="0"/>
              <w:spacing w:before="0" w:after="0"/>
              <w:jc w:val="left"/>
              <w:rPr>
                <w:rFonts w:ascii="arial" w:hAnsi="arial"/>
                <w:sz w:val="20"/>
              </w:rPr>
            </w:pPr>
            <w:r>
              <w:rPr>
                <w:rFonts w:ascii="arial" w:hAnsi="arial"/>
                <w:sz w:val="20"/>
              </w:rPr>
              <w:t xml:space="preserve">Values are based on Mr. Edwards’ employment agreement described above. </w:t>
            </w:r>
          </w:p>
        </w:tc>
      </w:tr>
    </w:tbl>
    <w:p>
      <w:pPr>
        <w:pStyle w:val="TextBody"/>
        <w:bidi w:val="0"/>
        <w:spacing w:before="360" w:after="0"/>
        <w:jc w:val="left"/>
        <w:rPr>
          <w:rFonts w:ascii="arial" w:hAnsi="arial"/>
          <w:b/>
          <w:color w:val="1F295C"/>
          <w:sz w:val="24"/>
        </w:rPr>
      </w:pPr>
      <w:bookmarkStart w:id="101" w:name="toc849638_70"/>
      <w:bookmarkEnd w:id="101"/>
      <w:r>
        <w:rPr>
          <w:rFonts w:ascii="arial" w:hAnsi="arial"/>
          <w:b/>
          <w:color w:val="1F295C"/>
          <w:sz w:val="24"/>
        </w:rPr>
        <w:t xml:space="preserve">Chief Executive Officer Pay Ratio </w:t>
      </w:r>
    </w:p>
    <w:p>
      <w:pPr>
        <w:pStyle w:val="TextBody"/>
        <w:bidi w:val="0"/>
        <w:spacing w:before="240" w:after="0"/>
        <w:jc w:val="left"/>
        <w:rPr>
          <w:rFonts w:ascii="arial" w:hAnsi="arial"/>
          <w:sz w:val="20"/>
        </w:rPr>
      </w:pPr>
      <w:r>
        <w:rPr>
          <w:rFonts w:ascii="arial" w:hAnsi="arial"/>
          <w:sz w:val="20"/>
        </w:rPr>
        <w:t xml:space="preserve">In accordance with SEC rules, we are providing the ratio of the annual total compensation of our Chief Executive Officer to the annual total compensation of our median employee. </w:t>
      </w:r>
    </w:p>
    <w:p>
      <w:pPr>
        <w:pStyle w:val="TextBody"/>
        <w:bidi w:val="0"/>
        <w:spacing w:before="240" w:after="0"/>
        <w:jc w:val="left"/>
        <w:rPr>
          <w:rFonts w:ascii="arial" w:hAnsi="arial"/>
          <w:sz w:val="20"/>
        </w:rPr>
      </w:pPr>
      <w:r>
        <w:rPr>
          <w:rFonts w:ascii="arial" w:hAnsi="arial"/>
          <w:sz w:val="20"/>
        </w:rPr>
        <w:t xml:space="preserve">For 2024: </w:t>
      </w:r>
    </w:p>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215"/>
        <w:gridCol w:w="60"/>
        <w:gridCol w:w="606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0"/>
              <w:jc w:val="left"/>
              <w:rPr>
                <w:rFonts w:ascii="arial" w:hAnsi="arial"/>
                <w:sz w:val="20"/>
              </w:rPr>
            </w:pPr>
            <w:r>
              <w:rPr>
                <w:rFonts w:ascii="arial" w:hAnsi="arial"/>
                <w:sz w:val="20"/>
              </w:rPr>
              <w:t xml:space="preserve">the annual total compensation of our median employee was $60,287;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215"/>
        <w:gridCol w:w="60"/>
        <w:gridCol w:w="560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left"/>
              <w:rPr>
                <w:rFonts w:ascii="arial" w:hAnsi="arial"/>
                <w:sz w:val="20"/>
              </w:rPr>
            </w:pPr>
            <w:r>
              <w:rPr>
                <w:rFonts w:ascii="arial" w:hAnsi="arial"/>
                <w:sz w:val="20"/>
              </w:rPr>
              <w:t xml:space="preserve">the annual total compensation of our CEO was $6,174,107;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left"/>
              <w:rPr>
                <w:rFonts w:ascii="arial" w:hAnsi="arial"/>
                <w:sz w:val="20"/>
              </w:rPr>
            </w:pPr>
            <w:r>
              <w:rPr>
                <w:rFonts w:ascii="arial" w:hAnsi="arial"/>
                <w:sz w:val="20"/>
              </w:rPr>
              <w:t xml:space="preserve">the ratio of the annual total compensation of our CEO to the annual total compensation of our median employee was approximately 102 to 1. </w:t>
            </w:r>
          </w:p>
        </w:tc>
      </w:tr>
    </w:tbl>
    <w:p>
      <w:pPr>
        <w:pStyle w:val="TextBody"/>
        <w:bidi w:val="0"/>
        <w:spacing w:before="240" w:after="0"/>
        <w:jc w:val="left"/>
        <w:rPr>
          <w:rFonts w:ascii="arial" w:hAnsi="arial"/>
          <w:sz w:val="20"/>
        </w:rPr>
      </w:pPr>
      <w:r>
        <w:rPr>
          <w:rFonts w:ascii="arial" w:hAnsi="arial"/>
          <w:sz w:val="20"/>
        </w:rPr>
        <w:t xml:space="preserve">The methodology and material assumptions, adjustments, and estimates that we used for these calculations were as follows. </w:t>
      </w:r>
    </w:p>
    <w:p>
      <w:pPr>
        <w:pStyle w:val="TextBody"/>
        <w:bidi w:val="0"/>
        <w:spacing w:before="240" w:after="0"/>
        <w:jc w:val="left"/>
        <w:rPr>
          <w:rFonts w:ascii="arial" w:hAnsi="arial"/>
          <w:sz w:val="20"/>
        </w:rPr>
      </w:pPr>
      <w:r>
        <w:rPr>
          <w:rFonts w:ascii="arial" w:hAnsi="arial"/>
          <w:sz w:val="20"/>
        </w:rPr>
        <w:t xml:space="preserve">We determined that, as of our testing date of December 31, 2024, our employee population consisted of 10,833 employees, including our CEO. After taking into consideration the adjustments permitted by SEC rules (by excluding 129 contractual employees and 115 employees, 40 of whom were hired after the final pay period in December 2024, and 67 of whom were union employees who remain active in our system but performed no work in 2024), our measurable employee population was 10,589 individuals. All of our employees are located in the United States. </w:t>
      </w:r>
    </w:p>
    <w:p>
      <w:pPr>
        <w:pStyle w:val="TextBody"/>
        <w:bidi w:val="0"/>
        <w:spacing w:before="240" w:after="0"/>
        <w:jc w:val="left"/>
        <w:rPr>
          <w:rFonts w:ascii="arial" w:hAnsi="arial"/>
          <w:sz w:val="20"/>
        </w:rPr>
      </w:pPr>
      <w:r>
        <w:rPr>
          <w:rFonts w:ascii="arial" w:hAnsi="arial"/>
          <w:sz w:val="20"/>
        </w:rPr>
        <w:t xml:space="preserve">With respect to the annual total compensation used to determine our “median employee,” we used a consistently applied measure, which we applied separately for salaried and hourly employees. For salaried employees, we used base salary rate. For hourly employees, we estimated annual wages based on hourly wage rate and normal weekly schedule. For piece rate employees, we used earned production wages. For salespersons, wages included commissions. We annualized the compensation of employees who were employed on our December 31, 2024 testing date, but who worked less than a full year.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Executive Compensation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Once we identified our median employee, we combined all of the elements of the employee’s compensation for 2024 in accordance with SEC rules, resulting in annual total compensation of $60,287. For the annual total compensation of our CEO, we used the amount reported in the “Total” column of the </w:t>
      </w:r>
      <w:r>
        <w:rPr>
          <w:rFonts w:ascii="arial" w:hAnsi="arial"/>
          <w:i/>
          <w:sz w:val="20"/>
        </w:rPr>
        <w:t>Summary Compensation Table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The SEC rules for identifying the median employee and calculating the pay ratio allow companies to choose from a variety of methodologies, to apply certain exclusions, and to make reasonable estimates and assumptions that reflect their varied employee populations and compensation practices. The pay ratio reported by other companies may not be comparable to our reported pay ratio, as other companies have differing employee populations and compensation practices and may utilize different methodologies, exclusions, estimates and assumptions in calculating their pay ratios. </w:t>
      </w:r>
    </w:p>
    <w:p>
      <w:pPr>
        <w:pStyle w:val="TextBody"/>
        <w:bidi w:val="0"/>
        <w:spacing w:before="240" w:after="0"/>
        <w:jc w:val="left"/>
        <w:rPr>
          <w:rFonts w:ascii="arial" w:hAnsi="arial"/>
          <w:sz w:val="20"/>
        </w:rPr>
      </w:pPr>
      <w:r>
        <w:rPr>
          <w:rFonts w:ascii="arial" w:hAnsi="arial"/>
          <w:sz w:val="20"/>
        </w:rPr>
        <w:t xml:space="preserve">Our pay philosophy is to pay our workforce competitively. We offer competitive pay based on industry specific compensation practices across our local markets, taking into account job responsibilities and individual performance. We believe both our CEO and our employee compensation programs are structured to attract and retain valuable talent necessary to drive profitable operations and enhance stockholder value.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Executive Compensation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1F295C"/>
          <w:spacing w:val="0"/>
          <w:sz w:val="24"/>
        </w:rPr>
      </w:pPr>
      <w:r>
        <w:rPr>
          <w:rFonts w:ascii="arial" w:hAnsi="arial"/>
          <w:b/>
          <w:color w:val="1F295C"/>
          <w:spacing w:val="0"/>
          <w:sz w:val="24"/>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20"/>
        </w:rPr>
      </w:pPr>
      <w:r>
        <w:rPr>
          <w:rFonts w:ascii="arial" w:hAnsi="arial"/>
          <w:sz w:val="20"/>
        </w:rPr>
        <w:t xml:space="preserve">The following information has been prepared in accordance with the SEC’s pay versus performance rules under the Exchange Act. The tables and related disclosures contain information about the relationship between our executive compensation actually paid (as defined by SEC rules) and certain Company financial performance measures. The CHC Committee did not consider this information when making its executive compensation decisions in 2024 or in setting target compensation for 2025. For further information about how we align executive compensation with Company performance, see </w:t>
      </w:r>
    </w:p>
    <w:p>
      <w:pPr>
        <w:pStyle w:val="TextBody"/>
        <w:bidi w:val="0"/>
        <w:spacing w:before="240" w:after="0"/>
        <w:jc w:val="left"/>
        <w:rPr>
          <w:caps w:val="false"/>
          <w:smallCaps w:val="false"/>
          <w:spacing w:val="0"/>
        </w:rPr>
      </w:pPr>
      <w:r>
        <w:rPr>
          <w:caps w:val="false"/>
          <w:smallCaps w:val="false"/>
          <w:spacing w:val="0"/>
        </w:rPr>
        <w:t>“</w:t>
      </w:r>
      <w:r>
        <w:rPr>
          <w:rFonts w:ascii="arial" w:hAnsi="arial"/>
          <w:i/>
          <w:caps w:val="false"/>
          <w:smallCaps w:val="false"/>
          <w:spacing w:val="0"/>
          <w:sz w:val="20"/>
        </w:rPr>
        <w:t>Compensation Discussion and Analysis.”</w:t>
      </w:r>
    </w:p>
    <w:p>
      <w:pPr>
        <w:pStyle w:val="TextBody"/>
        <w:bidi w:val="0"/>
        <w:spacing w:before="240" w:after="0"/>
        <w:jc w:val="left"/>
        <w:rPr>
          <w:rFonts w:ascii="arial" w:hAnsi="arial"/>
          <w:sz w:val="20"/>
        </w:rPr>
      </w:pPr>
      <w:r>
        <w:rPr>
          <w:rFonts w:ascii="arial" w:hAnsi="arial"/>
          <w:sz w:val="20"/>
        </w:rPr>
        <w:t xml:space="preserve">The amounts in the tables below are calculated in accordance with SEC rules and may not represent amounts actually earned or realized by our Principal Executive Officer (“PEO”) or </w:t>
      </w:r>
    </w:p>
    <w:p>
      <w:pPr>
        <w:pStyle w:val="TextBody"/>
        <w:bidi w:val="0"/>
        <w:spacing w:before="240" w:after="0"/>
        <w:jc w:val="left"/>
        <w:rPr>
          <w:rFonts w:ascii="arial" w:hAnsi="arial"/>
          <w:spacing w:val="0"/>
          <w:sz w:val="20"/>
        </w:rPr>
      </w:pPr>
      <w:r>
        <w:rPr>
          <w:rFonts w:ascii="arial" w:hAnsi="arial"/>
          <w:spacing w:val="0"/>
          <w:sz w:val="20"/>
        </w:rPr>
        <w:t>Non-PEO</w:t>
      </w:r>
    </w:p>
    <w:p>
      <w:pPr>
        <w:pStyle w:val="TextBody"/>
        <w:bidi w:val="0"/>
        <w:spacing w:before="240" w:after="0"/>
        <w:jc w:val="left"/>
        <w:rPr>
          <w:rFonts w:ascii="arial" w:hAnsi="arial"/>
          <w:sz w:val="20"/>
        </w:rPr>
      </w:pPr>
      <w:r>
        <w:rPr>
          <w:rFonts w:ascii="arial" w:hAnsi="arial"/>
          <w:sz w:val="20"/>
        </w:rPr>
        <w:t xml:space="preserve">Named Executive Officers. </w:t>
      </w:r>
    </w:p>
    <w:p>
      <w:pPr>
        <w:pStyle w:val="TextBody"/>
        <w:bidi w:val="0"/>
        <w:spacing w:before="0" w:after="0"/>
        <w:jc w:val="left"/>
        <w:rPr/>
      </w:pPr>
      <w:r>
        <w:rPr/>
        <w:t> </w:t>
      </w:r>
    </w:p>
    <w:tbl>
      <w:tblPr>
        <w:tblW w:w="11500" w:type="dxa"/>
        <w:jc w:val="left"/>
        <w:tblInd w:w="0" w:type="dxa"/>
        <w:tblLayout w:type="fixed"/>
        <w:tblCellMar>
          <w:top w:w="0" w:type="dxa"/>
          <w:left w:w="0" w:type="dxa"/>
          <w:bottom w:w="0" w:type="dxa"/>
          <w:right w:w="0" w:type="dxa"/>
        </w:tblCellMar>
      </w:tblPr>
      <w:tblGrid>
        <w:gridCol w:w="500"/>
        <w:gridCol w:w="60"/>
        <w:gridCol w:w="1190"/>
        <w:gridCol w:w="60"/>
        <w:gridCol w:w="1265"/>
        <w:gridCol w:w="60"/>
        <w:gridCol w:w="1460"/>
        <w:gridCol w:w="60"/>
        <w:gridCol w:w="1265"/>
        <w:gridCol w:w="60"/>
        <w:gridCol w:w="1428"/>
        <w:gridCol w:w="87"/>
        <w:gridCol w:w="1430"/>
        <w:gridCol w:w="60"/>
        <w:gridCol w:w="1220"/>
        <w:gridCol w:w="60"/>
        <w:gridCol w:w="1235"/>
      </w:tblGrid>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2945" w:type="dxa"/>
            <w:gridSpan w:val="3"/>
            <w:tcBorders>
              <w:bottom w:val="single" w:sz="12" w:space="0" w:color="1070B8"/>
            </w:tcBorders>
            <w:tcMar>
              <w:bottom w:w="40" w:type="dxa"/>
            </w:tcMar>
            <w:vAlign w:val="center"/>
          </w:tcPr>
          <w:p>
            <w:pPr>
              <w:pStyle w:val="TableContents"/>
              <w:bidi w:val="0"/>
              <w:spacing w:before="0" w:after="0"/>
              <w:jc w:val="center"/>
              <w:rPr>
                <w:color w:val="1F295C"/>
                <w:spacing w:val="0"/>
              </w:rPr>
            </w:pPr>
            <w:r>
              <w:rPr>
                <w:color w:val="1F295C"/>
                <w:spacing w:val="0"/>
              </w:rPr>
              <w:t> </w:t>
            </w:r>
            <w:r>
              <w:rPr>
                <w:b/>
                <w:color w:val="1F295C"/>
                <w:spacing w:val="0"/>
              </w:rPr>
              <w:t>Value of Initial Fixed $100  </w:t>
              <w:br/>
              <w:t>Investment Based On 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center"/>
              <w:rPr>
                <w:color w:val="1F295C"/>
                <w:spacing w:val="0"/>
              </w:rPr>
            </w:pPr>
            <w:r>
              <w:rPr>
                <w:color w:val="1F295C"/>
                <w:spacing w:val="0"/>
              </w:rPr>
              <w:t>Year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rFonts w:ascii="arial" w:hAnsi="arial"/>
                <w:b/>
                <w:color w:val="1F295C"/>
                <w:spacing w:val="0"/>
                <w:sz w:val="16"/>
              </w:rPr>
            </w:pPr>
            <w:r>
              <w:rPr>
                <w:rFonts w:ascii="arial" w:hAnsi="arial"/>
                <w:b/>
                <w:color w:val="1F295C"/>
                <w:spacing w:val="0"/>
                <w:sz w:val="16"/>
              </w:rPr>
              <w:t>Summary</w:t>
              <w:br/>
              <w:t>Compensation</w:t>
              <w:br/>
              <w:t>Table Total for</w:t>
              <w:br/>
              <w:t>CEO</w:t>
            </w:r>
          </w:p>
          <w:p>
            <w:pPr>
              <w:pStyle w:val="TableContents"/>
              <w:bidi w:val="0"/>
              <w:spacing w:before="0" w:after="20"/>
              <w:jc w:val="center"/>
              <w:rPr>
                <w:rFonts w:ascii="arial" w:hAnsi="arial"/>
                <w:b/>
                <w:color w:val="1F295C"/>
                <w:spacing w:val="0"/>
                <w:sz w:val="16"/>
              </w:rPr>
            </w:pPr>
            <w:r>
              <w:rPr>
                <w:rFonts w:ascii="arial" w:hAnsi="arial"/>
                <w:b/>
                <w:color w:val="1F295C"/>
                <w:spacing w:val="0"/>
                <w:sz w:val="16"/>
              </w:rPr>
              <w:t>($)1</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center"/>
              <w:rPr>
                <w:rFonts w:ascii="arial" w:hAnsi="arial"/>
                <w:b/>
                <w:color w:val="1F295C"/>
                <w:spacing w:val="0"/>
                <w:sz w:val="16"/>
              </w:rPr>
            </w:pPr>
            <w:r>
              <w:rPr>
                <w:rFonts w:ascii="arial" w:hAnsi="arial"/>
                <w:b/>
                <w:color w:val="1F295C"/>
                <w:spacing w:val="0"/>
                <w:sz w:val="16"/>
              </w:rPr>
              <w:t>Compensation</w:t>
              <w:br/>
              <w:t>Actually Paid to</w:t>
              <w:br/>
              <w:t>CEO</w:t>
            </w:r>
          </w:p>
          <w:p>
            <w:pPr>
              <w:pStyle w:val="TableContents"/>
              <w:bidi w:val="0"/>
              <w:spacing w:before="0" w:after="20"/>
              <w:jc w:val="center"/>
              <w:rPr>
                <w:rFonts w:ascii="arial" w:hAnsi="arial"/>
                <w:b/>
                <w:color w:val="1F295C"/>
                <w:spacing w:val="0"/>
                <w:sz w:val="16"/>
              </w:rPr>
            </w:pPr>
            <w:r>
              <w:rPr>
                <w:rFonts w:ascii="arial" w:hAnsi="arial"/>
                <w:b/>
                <w:color w:val="1F295C"/>
                <w:spacing w:val="0"/>
                <w:sz w:val="16"/>
              </w:rPr>
              <w:t>($)1</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rFonts w:ascii="arial" w:hAnsi="arial"/>
                <w:b/>
                <w:color w:val="1F295C"/>
                <w:spacing w:val="0"/>
                <w:sz w:val="16"/>
              </w:rPr>
            </w:pPr>
            <w:r>
              <w:rPr>
                <w:rFonts w:ascii="arial" w:hAnsi="arial"/>
                <w:b/>
                <w:color w:val="1F295C"/>
                <w:spacing w:val="0"/>
                <w:sz w:val="16"/>
              </w:rPr>
              <w:t>Average Summary</w:t>
            </w:r>
          </w:p>
          <w:p>
            <w:pPr>
              <w:pStyle w:val="TableContents"/>
              <w:bidi w:val="0"/>
              <w:spacing w:before="0" w:after="0"/>
              <w:jc w:val="center"/>
              <w:rPr>
                <w:rFonts w:ascii="arial" w:hAnsi="arial"/>
                <w:b/>
                <w:color w:val="1F295C"/>
                <w:spacing w:val="0"/>
                <w:sz w:val="16"/>
              </w:rPr>
            </w:pPr>
            <w:r>
              <w:rPr>
                <w:rFonts w:ascii="arial" w:hAnsi="arial"/>
                <w:b/>
                <w:color w:val="1F295C"/>
                <w:spacing w:val="0"/>
                <w:sz w:val="16"/>
              </w:rPr>
              <w:t>Compensation</w:t>
              <w:br/>
              <w:t>Table Total</w:t>
            </w:r>
          </w:p>
          <w:p>
            <w:pPr>
              <w:pStyle w:val="TableContents"/>
              <w:bidi w:val="0"/>
              <w:spacing w:before="0" w:after="0"/>
              <w:jc w:val="center"/>
              <w:rPr>
                <w:rFonts w:ascii="arial" w:hAnsi="arial"/>
                <w:b/>
                <w:color w:val="1F295C"/>
                <w:spacing w:val="0"/>
                <w:sz w:val="16"/>
              </w:rPr>
            </w:pPr>
            <w:r>
              <w:rPr>
                <w:rFonts w:ascii="arial" w:hAnsi="arial"/>
                <w:b/>
                <w:color w:val="1F295C"/>
                <w:spacing w:val="0"/>
                <w:sz w:val="16"/>
              </w:rPr>
              <w:t>Compensation</w:t>
            </w:r>
          </w:p>
          <w:p>
            <w:pPr>
              <w:pStyle w:val="TableContents"/>
              <w:bidi w:val="0"/>
              <w:spacing w:before="0" w:after="0"/>
              <w:jc w:val="center"/>
              <w:rPr>
                <w:rFonts w:ascii="arial" w:hAnsi="arial"/>
                <w:b/>
                <w:color w:val="1F295C"/>
                <w:spacing w:val="0"/>
                <w:sz w:val="16"/>
              </w:rPr>
            </w:pPr>
            <w:r>
              <w:rPr>
                <w:rFonts w:ascii="arial" w:hAnsi="arial"/>
                <w:b/>
                <w:color w:val="1F295C"/>
                <w:spacing w:val="0"/>
                <w:sz w:val="16"/>
              </w:rPr>
              <w:t>for Other NEOs</w:t>
            </w:r>
          </w:p>
          <w:p>
            <w:pPr>
              <w:pStyle w:val="TableContents"/>
              <w:bidi w:val="0"/>
              <w:spacing w:before="0" w:after="20"/>
              <w:jc w:val="center"/>
              <w:rPr>
                <w:rFonts w:ascii="arial" w:hAnsi="arial"/>
                <w:b/>
                <w:color w:val="1F295C"/>
                <w:spacing w:val="0"/>
                <w:sz w:val="16"/>
              </w:rPr>
            </w:pPr>
            <w:r>
              <w:rPr>
                <w:rFonts w:ascii="arial" w:hAnsi="arial"/>
                <w:b/>
                <w:color w:val="1F295C"/>
                <w:spacing w:val="0"/>
                <w:sz w:val="16"/>
              </w:rPr>
              <w:t>($)2,3</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center"/>
              <w:rPr>
                <w:rFonts w:ascii="arial" w:hAnsi="arial"/>
                <w:b/>
                <w:color w:val="1F295C"/>
                <w:spacing w:val="0"/>
                <w:sz w:val="16"/>
              </w:rPr>
            </w:pPr>
            <w:r>
              <w:rPr>
                <w:rFonts w:ascii="arial" w:hAnsi="arial"/>
                <w:b/>
                <w:color w:val="1F295C"/>
                <w:spacing w:val="0"/>
                <w:sz w:val="16"/>
              </w:rPr>
              <w:t>Average</w:t>
              <w:br/>
              <w:t>Compensation</w:t>
              <w:br/>
              <w:t>Actually Paid to</w:t>
              <w:br/>
              <w:t>Other NEOs</w:t>
            </w:r>
          </w:p>
          <w:p>
            <w:pPr>
              <w:pStyle w:val="TableContents"/>
              <w:bidi w:val="0"/>
              <w:spacing w:before="0" w:after="20"/>
              <w:jc w:val="center"/>
              <w:rPr>
                <w:rFonts w:ascii="arial" w:hAnsi="arial"/>
                <w:b/>
                <w:color w:val="1F295C"/>
                <w:spacing w:val="0"/>
                <w:sz w:val="16"/>
              </w:rPr>
            </w:pPr>
            <w:r>
              <w:rPr>
                <w:rFonts w:ascii="arial" w:hAnsi="arial"/>
                <w:b/>
                <w:color w:val="1F295C"/>
                <w:spacing w:val="0"/>
                <w:sz w:val="16"/>
              </w:rPr>
              <w:t>(4)</w:t>
            </w:r>
          </w:p>
        </w:tc>
        <w:tc>
          <w:tcPr>
            <w:tcW w:w="60"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0"/>
              <w:jc w:val="center"/>
              <w:rPr>
                <w:rFonts w:ascii="arial" w:hAnsi="arial"/>
                <w:b/>
                <w:color w:val="1F295C"/>
                <w:spacing w:val="0"/>
                <w:sz w:val="16"/>
              </w:rPr>
            </w:pPr>
            <w:r>
              <w:rPr>
                <w:rFonts w:ascii="arial" w:hAnsi="arial"/>
                <w:b/>
                <w:color w:val="1F295C"/>
                <w:spacing w:val="0"/>
                <w:sz w:val="16"/>
              </w:rPr>
              <w:t>Cumulative</w:t>
              <w:br/>
              <w:t>Total</w:t>
              <w:br/>
              <w:t>Shareholder</w:t>
              <w:br/>
              <w:t>Return</w:t>
            </w:r>
          </w:p>
          <w:p>
            <w:pPr>
              <w:pStyle w:val="TableContents"/>
              <w:bidi w:val="0"/>
              <w:spacing w:before="0" w:after="20"/>
              <w:jc w:val="center"/>
              <w:rPr>
                <w:rFonts w:ascii="arial" w:hAnsi="arial"/>
                <w:b/>
                <w:color w:val="1F295C"/>
                <w:spacing w:val="0"/>
                <w:sz w:val="16"/>
              </w:rPr>
            </w:pPr>
            <w:r>
              <w:rPr>
                <w:rFonts w:ascii="arial" w:hAnsi="arial"/>
                <w:b/>
                <w:color w:val="1F295C"/>
                <w:spacing w:val="0"/>
                <w:sz w:val="16"/>
              </w:rPr>
              <w:t>($)</w:t>
            </w:r>
          </w:p>
        </w:tc>
        <w:tc>
          <w:tcPr>
            <w:tcW w:w="87"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center"/>
              <w:rPr>
                <w:rFonts w:ascii="arial" w:hAnsi="arial"/>
                <w:b/>
                <w:color w:val="1F295C"/>
                <w:spacing w:val="0"/>
                <w:sz w:val="16"/>
              </w:rPr>
            </w:pPr>
            <w:r>
              <w:rPr>
                <w:rFonts w:ascii="arial" w:hAnsi="arial"/>
                <w:b/>
                <w:color w:val="1F295C"/>
                <w:spacing w:val="0"/>
                <w:sz w:val="16"/>
              </w:rPr>
              <w:t>Peer Group</w:t>
              <w:br/>
              <w:t>Cumulative</w:t>
              <w:br/>
              <w:t>Total</w:t>
              <w:br/>
              <w:t>Shareholder</w:t>
              <w:br/>
              <w:t>Return</w:t>
            </w:r>
          </w:p>
          <w:p>
            <w:pPr>
              <w:pStyle w:val="TableContents"/>
              <w:bidi w:val="0"/>
              <w:spacing w:before="0" w:after="20"/>
              <w:jc w:val="center"/>
              <w:rPr>
                <w:rFonts w:ascii="arial" w:hAnsi="arial"/>
                <w:b/>
                <w:color w:val="1F295C"/>
                <w:spacing w:val="0"/>
                <w:sz w:val="16"/>
              </w:rPr>
            </w:pPr>
            <w:r>
              <w:rPr>
                <w:rFonts w:ascii="arial" w:hAnsi="arial"/>
                <w:b/>
                <w:color w:val="1F295C"/>
                <w:spacing w:val="0"/>
                <w:sz w:val="16"/>
              </w:rPr>
              <w:t>($)4</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center"/>
              <w:rPr>
                <w:b/>
                <w:color w:val="1F295C"/>
                <w:spacing w:val="0"/>
              </w:rPr>
            </w:pPr>
            <w:r>
              <w:rPr>
                <w:b/>
                <w:color w:val="1F295C"/>
                <w:spacing w:val="0"/>
              </w:rPr>
              <w:t>Net Income</w:t>
              <w:br/>
              <w:t>($)</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center"/>
              <w:rPr>
                <w:rFonts w:ascii="arial" w:hAnsi="arial"/>
                <w:b/>
                <w:color w:val="1F295C"/>
                <w:spacing w:val="0"/>
                <w:sz w:val="16"/>
              </w:rPr>
            </w:pPr>
            <w:r>
              <w:rPr>
                <w:rFonts w:ascii="arial" w:hAnsi="arial"/>
                <w:b/>
                <w:color w:val="1F295C"/>
                <w:spacing w:val="0"/>
                <w:sz w:val="16"/>
              </w:rPr>
              <w:t>Adjusted</w:t>
              <w:br/>
              <w:t>EBITDA</w:t>
            </w:r>
          </w:p>
          <w:p>
            <w:pPr>
              <w:pStyle w:val="TableContents"/>
              <w:bidi w:val="0"/>
              <w:spacing w:before="0" w:after="20"/>
              <w:jc w:val="center"/>
              <w:rPr>
                <w:rFonts w:ascii="arial" w:hAnsi="arial"/>
                <w:b/>
                <w:color w:val="1F295C"/>
                <w:spacing w:val="0"/>
                <w:sz w:val="16"/>
              </w:rPr>
            </w:pPr>
            <w:r>
              <w:rPr>
                <w:rFonts w:ascii="arial" w:hAnsi="arial"/>
                <w:b/>
                <w:color w:val="1F295C"/>
                <w:spacing w:val="0"/>
                <w:sz w:val="16"/>
              </w:rPr>
              <w:t>($)5</w:t>
            </w:r>
          </w:p>
        </w:tc>
      </w:tr>
      <w:tr>
        <w:trPr/>
        <w:tc>
          <w:tcPr>
            <w:tcW w:w="500" w:type="dxa"/>
            <w:tcBorders>
              <w:top w:val="single" w:sz="12" w:space="0" w:color="1070B8"/>
            </w:tcBorders>
            <w:shd w:fill="D5DBE3" w:val="clear"/>
            <w:tcMar>
              <w:top w:w="28" w:type="dxa"/>
            </w:tcMar>
            <w:vAlign w:val="center"/>
          </w:tcPr>
          <w:p>
            <w:pPr>
              <w:pStyle w:val="TableContents"/>
              <w:bidi w:val="0"/>
              <w:spacing w:before="0" w:after="283"/>
              <w:jc w:val="left"/>
              <w:rPr/>
            </w:pPr>
            <w:r>
              <w:rPr/>
              <w:t> </w:t>
            </w:r>
          </w:p>
        </w:tc>
        <w:tc>
          <w:tcPr>
            <w:tcW w:w="1250"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1325"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1520"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1325"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1488"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1517"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1280" w:type="dxa"/>
            <w:gridSpan w:val="2"/>
            <w:tcBorders>
              <w:top w:val="single" w:sz="12" w:space="0" w:color="1070B8"/>
            </w:tcBorders>
            <w:tcMar>
              <w:top w:w="28" w:type="dxa"/>
            </w:tcMar>
            <w:vAlign w:val="center"/>
          </w:tcPr>
          <w:p>
            <w:pPr>
              <w:pStyle w:val="TableContents"/>
              <w:bidi w:val="0"/>
              <w:spacing w:before="0" w:after="283"/>
              <w:jc w:val="left"/>
              <w:rPr/>
            </w:pPr>
            <w:r>
              <w:rPr/>
              <w:t> </w:t>
            </w:r>
          </w:p>
        </w:tc>
        <w:tc>
          <w:tcPr>
            <w:tcW w:w="1295" w:type="dxa"/>
            <w:gridSpan w:val="2"/>
            <w:tcBorders>
              <w:top w:val="single" w:sz="12" w:space="0" w:color="1070B8"/>
            </w:tcBorders>
            <w:tcMar>
              <w:top w:w="28" w:type="dxa"/>
            </w:tcMar>
            <w:vAlign w:val="center"/>
          </w:tcPr>
          <w:p>
            <w:pPr>
              <w:pStyle w:val="TableContents"/>
              <w:bidi w:val="0"/>
              <w:spacing w:before="0" w:after="283"/>
              <w:jc w:val="left"/>
              <w:rPr/>
            </w:pPr>
            <w:r>
              <w:rPr/>
              <w:t> </w:t>
            </w:r>
          </w:p>
        </w:tc>
      </w:tr>
      <w:tr>
        <w:trPr/>
        <w:tc>
          <w:tcPr>
            <w:tcW w:w="500" w:type="dxa"/>
            <w:tcBorders>
              <w:bottom w:val="single" w:sz="12" w:space="0" w:color="1070B8"/>
            </w:tcBorders>
            <w:shd w:fill="D5DBE3" w:val="clear"/>
            <w:tcMar>
              <w:bottom w:w="60" w:type="dxa"/>
            </w:tcMar>
            <w:vAlign w:val="center"/>
          </w:tcPr>
          <w:p>
            <w:pPr>
              <w:pStyle w:val="TableContents"/>
              <w:bidi w:val="0"/>
              <w:spacing w:before="0" w:after="0"/>
              <w:jc w:val="center"/>
              <w:rPr>
                <w:spacing w:val="0"/>
              </w:rPr>
            </w:pPr>
            <w:r>
              <w:rPr>
                <w:spacing w:val="0"/>
              </w:rPr>
              <w:t> </w:t>
            </w:r>
            <w:r>
              <w:rPr>
                <w:spacing w:val="0"/>
                <w:sz w:val="18"/>
              </w:rPr>
              <w:t>2024 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190" w:type="dxa"/>
            <w:tcBorders>
              <w:bottom w:val="single" w:sz="12" w:space="0" w:color="1070B8"/>
            </w:tcBorders>
            <w:tcMar>
              <w:bottom w:w="60" w:type="dxa"/>
            </w:tcMar>
            <w:vAlign w:val="center"/>
          </w:tcPr>
          <w:p>
            <w:pPr>
              <w:pStyle w:val="TableContents"/>
              <w:bidi w:val="0"/>
              <w:spacing w:before="0" w:after="283"/>
              <w:jc w:val="right"/>
              <w:rPr/>
            </w:pPr>
            <w:r>
              <w:rPr/>
              <w:t>6,174,107 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65" w:type="dxa"/>
            <w:tcBorders>
              <w:bottom w:val="single" w:sz="12" w:space="0" w:color="1070B8"/>
            </w:tcBorders>
            <w:tcMar>
              <w:bottom w:w="60" w:type="dxa"/>
            </w:tcMar>
            <w:vAlign w:val="center"/>
          </w:tcPr>
          <w:p>
            <w:pPr>
              <w:pStyle w:val="TableContents"/>
              <w:bidi w:val="0"/>
              <w:spacing w:before="0" w:after="283"/>
              <w:jc w:val="right"/>
              <w:rPr/>
            </w:pPr>
            <w:r>
              <w:rPr/>
              <w:t>6,243,012 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460" w:type="dxa"/>
            <w:tcBorders>
              <w:bottom w:val="single" w:sz="12" w:space="0" w:color="1070B8"/>
            </w:tcBorders>
            <w:tcMar>
              <w:bottom w:w="60" w:type="dxa"/>
            </w:tcMar>
            <w:vAlign w:val="center"/>
          </w:tcPr>
          <w:p>
            <w:pPr>
              <w:pStyle w:val="TableContents"/>
              <w:bidi w:val="0"/>
              <w:spacing w:before="0" w:after="283"/>
              <w:jc w:val="right"/>
              <w:rPr/>
            </w:pPr>
            <w:r>
              <w:rPr/>
              <w:t>1,581,623 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65" w:type="dxa"/>
            <w:tcBorders>
              <w:bottom w:val="single" w:sz="12" w:space="0" w:color="1070B8"/>
            </w:tcBorders>
            <w:tcMar>
              <w:bottom w:w="60" w:type="dxa"/>
            </w:tcMar>
            <w:vAlign w:val="center"/>
          </w:tcPr>
          <w:p>
            <w:pPr>
              <w:pStyle w:val="TableContents"/>
              <w:bidi w:val="0"/>
              <w:spacing w:before="0" w:after="283"/>
              <w:jc w:val="right"/>
              <w:rPr/>
            </w:pPr>
            <w:r>
              <w:rPr/>
              <w:t>1,523,695 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428" w:type="dxa"/>
            <w:tcBorders>
              <w:bottom w:val="single" w:sz="12" w:space="0" w:color="1070B8"/>
            </w:tcBorders>
            <w:tcMar>
              <w:bottom w:w="60" w:type="dxa"/>
            </w:tcMar>
            <w:vAlign w:val="center"/>
          </w:tcPr>
          <w:p>
            <w:pPr>
              <w:pStyle w:val="TableContents"/>
              <w:bidi w:val="0"/>
              <w:spacing w:before="0" w:after="283"/>
              <w:jc w:val="center"/>
              <w:rPr/>
            </w:pPr>
            <w:r>
              <w:rPr/>
              <w:t>271</w:t>
            </w:r>
          </w:p>
        </w:tc>
        <w:tc>
          <w:tcPr>
            <w:tcW w:w="87" w:type="dxa"/>
            <w:tcBorders>
              <w:bottom w:val="single" w:sz="12" w:space="0" w:color="1070B8"/>
            </w:tcBorders>
            <w:tcMar>
              <w:bottom w:w="28" w:type="dxa"/>
            </w:tcMar>
            <w:vAlign w:val="center"/>
          </w:tcPr>
          <w:p>
            <w:pPr>
              <w:pStyle w:val="TableContents"/>
              <w:bidi w:val="0"/>
              <w:spacing w:before="0" w:after="283"/>
              <w:jc w:val="left"/>
              <w:rPr/>
            </w:pPr>
            <w:r>
              <w:rPr/>
              <w:t> </w:t>
            </w:r>
          </w:p>
        </w:tc>
        <w:tc>
          <w:tcPr>
            <w:tcW w:w="1430" w:type="dxa"/>
            <w:tcBorders>
              <w:bottom w:val="single" w:sz="12" w:space="0" w:color="1070B8"/>
            </w:tcBorders>
            <w:tcMar>
              <w:bottom w:w="60" w:type="dxa"/>
            </w:tcMar>
            <w:vAlign w:val="center"/>
          </w:tcPr>
          <w:p>
            <w:pPr>
              <w:pStyle w:val="TableContents"/>
              <w:bidi w:val="0"/>
              <w:spacing w:before="0" w:after="283"/>
              <w:jc w:val="center"/>
              <w:rPr/>
            </w:pPr>
            <w:r>
              <w:rPr/>
              <w:t>225</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20" w:type="dxa"/>
            <w:tcBorders>
              <w:bottom w:val="single" w:sz="12" w:space="0" w:color="1070B8"/>
            </w:tcBorders>
            <w:tcMar>
              <w:bottom w:w="60" w:type="dxa"/>
            </w:tcMar>
            <w:vAlign w:val="center"/>
          </w:tcPr>
          <w:p>
            <w:pPr>
              <w:pStyle w:val="TableContents"/>
              <w:bidi w:val="0"/>
              <w:spacing w:before="0" w:after="283"/>
              <w:jc w:val="right"/>
              <w:rPr/>
            </w:pPr>
            <w:r>
              <w:rPr/>
              <w:t>256,600,000</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35" w:type="dxa"/>
            <w:tcBorders>
              <w:bottom w:val="single" w:sz="12" w:space="0" w:color="1070B8"/>
            </w:tcBorders>
            <w:tcMar>
              <w:bottom w:w="60" w:type="dxa"/>
            </w:tcMar>
            <w:vAlign w:val="center"/>
          </w:tcPr>
          <w:p>
            <w:pPr>
              <w:pStyle w:val="TableContents"/>
              <w:bidi w:val="0"/>
              <w:spacing w:before="0" w:after="283"/>
              <w:jc w:val="right"/>
              <w:rPr/>
            </w:pPr>
            <w:r>
              <w:rPr/>
              <w:t>511,400,000 </w:t>
            </w:r>
          </w:p>
        </w:tc>
      </w:tr>
      <w:tr>
        <w:trPr/>
        <w:tc>
          <w:tcPr>
            <w:tcW w:w="500" w:type="dxa"/>
            <w:tcBorders/>
            <w:shd w:fill="D5DBE3" w:val="clear"/>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52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488" w:type="dxa"/>
            <w:gridSpan w:val="2"/>
            <w:tcBorders/>
            <w:vAlign w:val="center"/>
          </w:tcPr>
          <w:p>
            <w:pPr>
              <w:pStyle w:val="TableContents"/>
              <w:bidi w:val="0"/>
              <w:spacing w:before="0" w:after="283"/>
              <w:jc w:val="left"/>
              <w:rPr>
                <w:sz w:val="4"/>
                <w:szCs w:val="4"/>
              </w:rPr>
            </w:pPr>
            <w:r>
              <w:rPr>
                <w:sz w:val="4"/>
                <w:szCs w:val="4"/>
              </w:rPr>
            </w:r>
          </w:p>
        </w:tc>
        <w:tc>
          <w:tcPr>
            <w:tcW w:w="1517"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bottom w:val="single" w:sz="6" w:space="0" w:color="000000"/>
            </w:tcBorders>
            <w:shd w:fill="D5DBE3" w:val="clear"/>
            <w:tcMar>
              <w:bottom w:w="28" w:type="dxa"/>
            </w:tcMar>
            <w:vAlign w:val="center"/>
          </w:tcPr>
          <w:p>
            <w:pPr>
              <w:pStyle w:val="TableContents"/>
              <w:bidi w:val="0"/>
              <w:spacing w:before="0" w:after="0"/>
              <w:jc w:val="center"/>
              <w:rPr>
                <w:spacing w:val="0"/>
              </w:rPr>
            </w:pPr>
            <w:r>
              <w:rPr>
                <w:spacing w:val="0"/>
              </w:rPr>
              <w:t> </w:t>
            </w:r>
            <w:r>
              <w:rPr>
                <w:spacing w:val="0"/>
                <w:sz w:val="18"/>
              </w:rPr>
              <w:t>2023 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right"/>
              <w:rPr/>
            </w:pPr>
            <w:r>
              <w:rPr/>
              <w:t>5,932,174 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right"/>
              <w:rPr/>
            </w:pPr>
            <w:r>
              <w:rPr/>
              <w:t>10,434,046 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60" w:type="dxa"/>
            <w:tcBorders>
              <w:bottom w:val="single" w:sz="6" w:space="0" w:color="000000"/>
            </w:tcBorders>
            <w:tcMar>
              <w:bottom w:w="28" w:type="dxa"/>
            </w:tcMar>
            <w:vAlign w:val="center"/>
          </w:tcPr>
          <w:p>
            <w:pPr>
              <w:pStyle w:val="TableContents"/>
              <w:bidi w:val="0"/>
              <w:spacing w:before="0" w:after="283"/>
              <w:jc w:val="right"/>
              <w:rPr/>
            </w:pPr>
            <w:r>
              <w:rPr/>
              <w:t>1,593,537 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right"/>
              <w:rPr/>
            </w:pPr>
            <w:r>
              <w:rPr/>
              <w:t>2,890,501 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8" w:type="dxa"/>
            <w:tcBorders>
              <w:bottom w:val="single" w:sz="6" w:space="0" w:color="000000"/>
            </w:tcBorders>
            <w:tcMar>
              <w:bottom w:w="28" w:type="dxa"/>
            </w:tcMar>
            <w:vAlign w:val="center"/>
          </w:tcPr>
          <w:p>
            <w:pPr>
              <w:pStyle w:val="TableContents"/>
              <w:bidi w:val="0"/>
              <w:spacing w:before="0" w:after="283"/>
              <w:jc w:val="center"/>
              <w:rPr/>
            </w:pPr>
            <w:r>
              <w:rPr/>
              <w:t>280</w:t>
            </w:r>
          </w:p>
        </w:tc>
        <w:tc>
          <w:tcPr>
            <w:tcW w:w="87"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28" w:type="dxa"/>
            </w:tcMar>
            <w:vAlign w:val="center"/>
          </w:tcPr>
          <w:p>
            <w:pPr>
              <w:pStyle w:val="TableContents"/>
              <w:bidi w:val="0"/>
              <w:spacing w:before="0" w:after="283"/>
              <w:jc w:val="center"/>
              <w:rPr/>
            </w:pPr>
            <w:r>
              <w:rPr/>
              <w:t>200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right"/>
              <w:rPr/>
            </w:pPr>
            <w:r>
              <w:rPr/>
              <w:t>243,700,000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485,900,000 </w:t>
            </w:r>
          </w:p>
        </w:tc>
      </w:tr>
      <w:tr>
        <w:trPr/>
        <w:tc>
          <w:tcPr>
            <w:tcW w:w="500" w:type="dxa"/>
            <w:tcBorders/>
            <w:shd w:fill="D5DBE3" w:val="clear"/>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52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488" w:type="dxa"/>
            <w:gridSpan w:val="2"/>
            <w:tcBorders/>
            <w:vAlign w:val="center"/>
          </w:tcPr>
          <w:p>
            <w:pPr>
              <w:pStyle w:val="TableContents"/>
              <w:bidi w:val="0"/>
              <w:spacing w:before="0" w:after="283"/>
              <w:jc w:val="left"/>
              <w:rPr>
                <w:sz w:val="4"/>
                <w:szCs w:val="4"/>
              </w:rPr>
            </w:pPr>
            <w:r>
              <w:rPr>
                <w:sz w:val="4"/>
                <w:szCs w:val="4"/>
              </w:rPr>
            </w:r>
          </w:p>
        </w:tc>
        <w:tc>
          <w:tcPr>
            <w:tcW w:w="1517"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bottom w:val="single" w:sz="6" w:space="0" w:color="000000"/>
            </w:tcBorders>
            <w:shd w:fill="D5DBE3" w:val="clear"/>
            <w:tcMar>
              <w:bottom w:w="28" w:type="dxa"/>
            </w:tcMar>
            <w:vAlign w:val="center"/>
          </w:tcPr>
          <w:p>
            <w:pPr>
              <w:pStyle w:val="TableContents"/>
              <w:bidi w:val="0"/>
              <w:spacing w:before="0" w:after="0"/>
              <w:jc w:val="center"/>
              <w:rPr>
                <w:spacing w:val="0"/>
              </w:rPr>
            </w:pPr>
            <w:r>
              <w:rPr>
                <w:spacing w:val="0"/>
              </w:rPr>
              <w:t> </w:t>
            </w:r>
            <w:r>
              <w:rPr>
                <w:spacing w:val="0"/>
                <w:sz w:val="18"/>
              </w:rPr>
              <w:t>2022 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right"/>
              <w:rPr/>
            </w:pPr>
            <w:r>
              <w:rPr/>
              <w:t>5,331,034 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right"/>
              <w:rPr/>
            </w:pPr>
            <w:r>
              <w:rPr/>
              <w:t>696,971 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60" w:type="dxa"/>
            <w:tcBorders>
              <w:bottom w:val="single" w:sz="6" w:space="0" w:color="000000"/>
            </w:tcBorders>
            <w:tcMar>
              <w:bottom w:w="28" w:type="dxa"/>
            </w:tcMar>
            <w:vAlign w:val="center"/>
          </w:tcPr>
          <w:p>
            <w:pPr>
              <w:pStyle w:val="TableContents"/>
              <w:bidi w:val="0"/>
              <w:spacing w:before="0" w:after="283"/>
              <w:jc w:val="right"/>
              <w:rPr/>
            </w:pPr>
            <w:r>
              <w:rPr/>
              <w:t>1,399,047 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right"/>
              <w:rPr/>
            </w:pPr>
            <w:r>
              <w:rPr/>
              <w:t>84,150 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8" w:type="dxa"/>
            <w:tcBorders>
              <w:bottom w:val="single" w:sz="6" w:space="0" w:color="000000"/>
            </w:tcBorders>
            <w:tcMar>
              <w:bottom w:w="28" w:type="dxa"/>
            </w:tcMar>
            <w:vAlign w:val="center"/>
          </w:tcPr>
          <w:p>
            <w:pPr>
              <w:pStyle w:val="TableContents"/>
              <w:bidi w:val="0"/>
              <w:spacing w:before="0" w:after="283"/>
              <w:jc w:val="center"/>
              <w:rPr/>
            </w:pPr>
            <w:r>
              <w:rPr/>
              <w:t>129</w:t>
            </w:r>
          </w:p>
        </w:tc>
        <w:tc>
          <w:tcPr>
            <w:tcW w:w="87"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28" w:type="dxa"/>
            </w:tcMar>
            <w:vAlign w:val="center"/>
          </w:tcPr>
          <w:p>
            <w:pPr>
              <w:pStyle w:val="TableContents"/>
              <w:bidi w:val="0"/>
              <w:spacing w:before="0" w:after="283"/>
              <w:jc w:val="center"/>
              <w:rPr/>
            </w:pPr>
            <w:r>
              <w:rPr/>
              <w:t>132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right"/>
              <w:rPr/>
            </w:pPr>
            <w:r>
              <w:rPr/>
              <w:t>223,400,000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439,300,000 </w:t>
            </w:r>
          </w:p>
        </w:tc>
      </w:tr>
      <w:tr>
        <w:trPr/>
        <w:tc>
          <w:tcPr>
            <w:tcW w:w="500" w:type="dxa"/>
            <w:tcBorders/>
            <w:shd w:fill="D5DBE3" w:val="clear"/>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52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488" w:type="dxa"/>
            <w:gridSpan w:val="2"/>
            <w:tcBorders/>
            <w:vAlign w:val="center"/>
          </w:tcPr>
          <w:p>
            <w:pPr>
              <w:pStyle w:val="TableContents"/>
              <w:bidi w:val="0"/>
              <w:spacing w:before="0" w:after="283"/>
              <w:jc w:val="left"/>
              <w:rPr>
                <w:sz w:val="4"/>
                <w:szCs w:val="4"/>
              </w:rPr>
            </w:pPr>
            <w:r>
              <w:rPr>
                <w:sz w:val="4"/>
                <w:szCs w:val="4"/>
              </w:rPr>
            </w:r>
          </w:p>
        </w:tc>
        <w:tc>
          <w:tcPr>
            <w:tcW w:w="1517"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bottom w:val="single" w:sz="6" w:space="0" w:color="000000"/>
            </w:tcBorders>
            <w:shd w:fill="D5DBE3" w:val="clear"/>
            <w:tcMar>
              <w:bottom w:w="28" w:type="dxa"/>
            </w:tcMar>
            <w:vAlign w:val="center"/>
          </w:tcPr>
          <w:p>
            <w:pPr>
              <w:pStyle w:val="TableContents"/>
              <w:bidi w:val="0"/>
              <w:spacing w:before="0" w:after="0"/>
              <w:jc w:val="center"/>
              <w:rPr>
                <w:spacing w:val="0"/>
              </w:rPr>
            </w:pPr>
            <w:r>
              <w:rPr>
                <w:spacing w:val="0"/>
              </w:rPr>
              <w:t> </w:t>
            </w:r>
            <w:r>
              <w:rPr>
                <w:spacing w:val="0"/>
                <w:sz w:val="18"/>
              </w:rPr>
              <w:t>2021 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right"/>
              <w:rPr/>
            </w:pPr>
            <w:r>
              <w:rPr/>
              <w:t>4,351,277 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right"/>
              <w:rPr/>
            </w:pPr>
            <w:r>
              <w:rPr/>
              <w:t>7,666,457 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60" w:type="dxa"/>
            <w:tcBorders>
              <w:bottom w:val="single" w:sz="6" w:space="0" w:color="000000"/>
            </w:tcBorders>
            <w:tcMar>
              <w:bottom w:w="28" w:type="dxa"/>
            </w:tcMar>
            <w:vAlign w:val="center"/>
          </w:tcPr>
          <w:p>
            <w:pPr>
              <w:pStyle w:val="TableContents"/>
              <w:bidi w:val="0"/>
              <w:spacing w:before="0" w:after="283"/>
              <w:jc w:val="right"/>
              <w:rPr/>
            </w:pPr>
            <w:r>
              <w:rPr/>
              <w:t>1,213,319 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right"/>
              <w:rPr/>
            </w:pPr>
            <w:r>
              <w:rPr/>
              <w:t>2,139,501 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8" w:type="dxa"/>
            <w:tcBorders>
              <w:bottom w:val="single" w:sz="6" w:space="0" w:color="000000"/>
            </w:tcBorders>
            <w:tcMar>
              <w:bottom w:w="28" w:type="dxa"/>
            </w:tcMar>
            <w:vAlign w:val="center"/>
          </w:tcPr>
          <w:p>
            <w:pPr>
              <w:pStyle w:val="TableContents"/>
              <w:bidi w:val="0"/>
              <w:spacing w:before="0" w:after="283"/>
              <w:jc w:val="center"/>
              <w:rPr/>
            </w:pPr>
            <w:r>
              <w:rPr/>
              <w:t>205</w:t>
            </w:r>
          </w:p>
        </w:tc>
        <w:tc>
          <w:tcPr>
            <w:tcW w:w="87"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28" w:type="dxa"/>
            </w:tcMar>
            <w:vAlign w:val="center"/>
          </w:tcPr>
          <w:p>
            <w:pPr>
              <w:pStyle w:val="TableContents"/>
              <w:bidi w:val="0"/>
              <w:spacing w:before="0" w:after="283"/>
              <w:jc w:val="center"/>
              <w:rPr/>
            </w:pPr>
            <w:r>
              <w:rPr/>
              <w:t>159</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right"/>
              <w:rPr/>
            </w:pPr>
            <w:r>
              <w:rPr/>
              <w:t>118,800,000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285,400,000 </w:t>
            </w:r>
          </w:p>
        </w:tc>
      </w:tr>
      <w:tr>
        <w:trPr/>
        <w:tc>
          <w:tcPr>
            <w:tcW w:w="500" w:type="dxa"/>
            <w:tcBorders/>
            <w:shd w:fill="D5DBE3" w:val="clear"/>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52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488" w:type="dxa"/>
            <w:gridSpan w:val="2"/>
            <w:tcBorders/>
            <w:vAlign w:val="center"/>
          </w:tcPr>
          <w:p>
            <w:pPr>
              <w:pStyle w:val="TableContents"/>
              <w:bidi w:val="0"/>
              <w:spacing w:before="0" w:after="283"/>
              <w:jc w:val="left"/>
              <w:rPr>
                <w:sz w:val="4"/>
                <w:szCs w:val="4"/>
              </w:rPr>
            </w:pPr>
            <w:r>
              <w:rPr>
                <w:sz w:val="4"/>
                <w:szCs w:val="4"/>
              </w:rPr>
            </w:r>
          </w:p>
        </w:tc>
        <w:tc>
          <w:tcPr>
            <w:tcW w:w="1517"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bottom w:val="single" w:sz="12" w:space="0" w:color="1070B8"/>
            </w:tcBorders>
            <w:shd w:fill="D5DBE3" w:val="clear"/>
            <w:tcMar>
              <w:bottom w:w="60" w:type="dxa"/>
            </w:tcMar>
            <w:vAlign w:val="center"/>
          </w:tcPr>
          <w:p>
            <w:pPr>
              <w:pStyle w:val="TableContents"/>
              <w:bidi w:val="0"/>
              <w:spacing w:before="0" w:after="0"/>
              <w:jc w:val="center"/>
              <w:rPr>
                <w:spacing w:val="0"/>
              </w:rPr>
            </w:pPr>
            <w:r>
              <w:rPr>
                <w:spacing w:val="0"/>
              </w:rPr>
              <w:t> </w:t>
            </w:r>
            <w:r>
              <w:rPr>
                <w:spacing w:val="0"/>
                <w:sz w:val="18"/>
              </w:rPr>
              <w:t>2020 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190" w:type="dxa"/>
            <w:tcBorders>
              <w:bottom w:val="single" w:sz="12" w:space="0" w:color="1070B8"/>
            </w:tcBorders>
            <w:tcMar>
              <w:bottom w:w="60" w:type="dxa"/>
            </w:tcMar>
            <w:vAlign w:val="center"/>
          </w:tcPr>
          <w:p>
            <w:pPr>
              <w:pStyle w:val="TableContents"/>
              <w:bidi w:val="0"/>
              <w:spacing w:before="0" w:after="283"/>
              <w:jc w:val="right"/>
              <w:rPr/>
            </w:pPr>
            <w:r>
              <w:rPr/>
              <w:t>4,097,375 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65" w:type="dxa"/>
            <w:tcBorders>
              <w:bottom w:val="single" w:sz="12" w:space="0" w:color="1070B8"/>
            </w:tcBorders>
            <w:tcMar>
              <w:bottom w:w="60" w:type="dxa"/>
            </w:tcMar>
            <w:vAlign w:val="center"/>
          </w:tcPr>
          <w:p>
            <w:pPr>
              <w:pStyle w:val="TableContents"/>
              <w:bidi w:val="0"/>
              <w:spacing w:before="0" w:after="283"/>
              <w:jc w:val="right"/>
              <w:rPr/>
            </w:pPr>
            <w:r>
              <w:rPr/>
              <w:t>5,547,911 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460" w:type="dxa"/>
            <w:tcBorders>
              <w:bottom w:val="single" w:sz="12" w:space="0" w:color="1070B8"/>
            </w:tcBorders>
            <w:tcMar>
              <w:bottom w:w="60" w:type="dxa"/>
            </w:tcMar>
            <w:vAlign w:val="center"/>
          </w:tcPr>
          <w:p>
            <w:pPr>
              <w:pStyle w:val="TableContents"/>
              <w:bidi w:val="0"/>
              <w:spacing w:before="0" w:after="283"/>
              <w:jc w:val="right"/>
              <w:rPr/>
            </w:pPr>
            <w:r>
              <w:rPr/>
              <w:t>1,149,186 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65" w:type="dxa"/>
            <w:tcBorders>
              <w:bottom w:val="single" w:sz="12" w:space="0" w:color="1070B8"/>
            </w:tcBorders>
            <w:tcMar>
              <w:bottom w:w="60" w:type="dxa"/>
            </w:tcMar>
            <w:vAlign w:val="center"/>
          </w:tcPr>
          <w:p>
            <w:pPr>
              <w:pStyle w:val="TableContents"/>
              <w:bidi w:val="0"/>
              <w:spacing w:before="0" w:after="283"/>
              <w:jc w:val="right"/>
              <w:rPr/>
            </w:pPr>
            <w:r>
              <w:rPr/>
              <w:t>2,089,937 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428" w:type="dxa"/>
            <w:tcBorders>
              <w:bottom w:val="single" w:sz="12" w:space="0" w:color="1070B8"/>
            </w:tcBorders>
            <w:tcMar>
              <w:bottom w:w="60" w:type="dxa"/>
            </w:tcMar>
            <w:vAlign w:val="center"/>
          </w:tcPr>
          <w:p>
            <w:pPr>
              <w:pStyle w:val="TableContents"/>
              <w:bidi w:val="0"/>
              <w:spacing w:before="0" w:after="283"/>
              <w:jc w:val="center"/>
              <w:rPr/>
            </w:pPr>
            <w:r>
              <w:rPr/>
              <w:t>148</w:t>
            </w:r>
          </w:p>
        </w:tc>
        <w:tc>
          <w:tcPr>
            <w:tcW w:w="87" w:type="dxa"/>
            <w:tcBorders>
              <w:bottom w:val="single" w:sz="12" w:space="0" w:color="1070B8"/>
            </w:tcBorders>
            <w:tcMar>
              <w:bottom w:w="28" w:type="dxa"/>
            </w:tcMar>
            <w:vAlign w:val="center"/>
          </w:tcPr>
          <w:p>
            <w:pPr>
              <w:pStyle w:val="TableContents"/>
              <w:bidi w:val="0"/>
              <w:spacing w:before="0" w:after="283"/>
              <w:jc w:val="left"/>
              <w:rPr/>
            </w:pPr>
            <w:r>
              <w:rPr/>
              <w:t> </w:t>
            </w:r>
          </w:p>
        </w:tc>
        <w:tc>
          <w:tcPr>
            <w:tcW w:w="1430" w:type="dxa"/>
            <w:tcBorders>
              <w:bottom w:val="single" w:sz="12" w:space="0" w:color="1070B8"/>
            </w:tcBorders>
            <w:tcMar>
              <w:bottom w:w="60" w:type="dxa"/>
            </w:tcMar>
            <w:vAlign w:val="center"/>
          </w:tcPr>
          <w:p>
            <w:pPr>
              <w:pStyle w:val="TableContents"/>
              <w:bidi w:val="0"/>
              <w:spacing w:before="0" w:after="283"/>
              <w:jc w:val="center"/>
              <w:rPr/>
            </w:pPr>
            <w:r>
              <w:rPr/>
              <w:t>127</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20" w:type="dxa"/>
            <w:tcBorders>
              <w:bottom w:val="single" w:sz="12" w:space="0" w:color="1070B8"/>
            </w:tcBorders>
            <w:tcMar>
              <w:bottom w:w="60" w:type="dxa"/>
            </w:tcMar>
            <w:vAlign w:val="center"/>
          </w:tcPr>
          <w:p>
            <w:pPr>
              <w:pStyle w:val="TableContents"/>
              <w:bidi w:val="0"/>
              <w:spacing w:before="0" w:after="283"/>
              <w:jc w:val="right"/>
              <w:rPr/>
            </w:pPr>
            <w:r>
              <w:rPr/>
              <w:t>97,200,000</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35" w:type="dxa"/>
            <w:tcBorders>
              <w:bottom w:val="single" w:sz="12" w:space="0" w:color="1070B8"/>
            </w:tcBorders>
            <w:tcMar>
              <w:bottom w:w="60" w:type="dxa"/>
            </w:tcMar>
            <w:vAlign w:val="center"/>
          </w:tcPr>
          <w:p>
            <w:pPr>
              <w:pStyle w:val="TableContents"/>
              <w:bidi w:val="0"/>
              <w:spacing w:before="0" w:after="283"/>
              <w:jc w:val="right"/>
              <w:rPr/>
            </w:pPr>
            <w:r>
              <w:rPr/>
              <w:t>245,600,000 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(1)</w:t>
            </w:r>
          </w:p>
        </w:tc>
        <w:tc>
          <w:tcPr>
            <w:tcW w:w="9842" w:type="dxa"/>
            <w:tcBorders/>
            <w:vAlign w:val="center"/>
          </w:tcPr>
          <w:p>
            <w:pPr>
              <w:pStyle w:val="TableContents"/>
              <w:bidi w:val="0"/>
              <w:spacing w:before="0" w:after="0"/>
              <w:jc w:val="left"/>
              <w:rPr>
                <w:rFonts w:ascii="arial" w:hAnsi="arial"/>
                <w:sz w:val="20"/>
              </w:rPr>
            </w:pPr>
            <w:r>
              <w:rPr>
                <w:rFonts w:ascii="arial" w:hAnsi="arial"/>
                <w:sz w:val="20"/>
              </w:rPr>
              <w:t xml:space="preserve">Jeffrey W. Edwards, our Chief Executive Officer, served as our PEO for each of 2024, 2023, 2022, 2021 and 2020. </w:t>
            </w:r>
          </w:p>
        </w:tc>
      </w:tr>
    </w:tbl>
    <w:tbl>
      <w:tblPr>
        <w:tblW w:w="10205" w:type="dxa"/>
        <w:jc w:val="left"/>
        <w:tblInd w:w="0" w:type="dxa"/>
        <w:tblLayout w:type="fixed"/>
        <w:tblCellMar>
          <w:top w:w="0" w:type="dxa"/>
          <w:left w:w="0" w:type="dxa"/>
          <w:bottom w:w="0" w:type="dxa"/>
          <w:right w:w="0" w:type="dxa"/>
        </w:tblCellMar>
      </w:tblPr>
      <w:tblGrid>
        <w:gridCol w:w="75"/>
        <w:gridCol w:w="286"/>
        <w:gridCol w:w="9844"/>
      </w:tblGrid>
      <w:tr>
        <w:trPr/>
        <w:tc>
          <w:tcPr>
            <w:tcW w:w="7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(2)</w:t>
            </w:r>
          </w:p>
        </w:tc>
        <w:tc>
          <w:tcPr>
            <w:tcW w:w="9844" w:type="dxa"/>
            <w:tcBorders/>
            <w:vAlign w:val="center"/>
          </w:tcPr>
          <w:p>
            <w:pPr>
              <w:pStyle w:val="TableContents"/>
              <w:bidi w:val="0"/>
              <w:spacing w:before="0" w:after="0"/>
              <w:jc w:val="left"/>
              <w:rPr>
                <w:rFonts w:ascii="arial" w:hAnsi="arial"/>
                <w:sz w:val="20"/>
              </w:rPr>
            </w:pPr>
            <w:r>
              <w:rPr>
                <w:rFonts w:ascii="arial" w:hAnsi="arial"/>
                <w:sz w:val="20"/>
              </w:rPr>
              <w:t xml:space="preserve">Compensation actually paid to our PEO in each of 2024, 2023, 2022, 2021 and 2020 reflects the amounts in the </w:t>
            </w:r>
          </w:p>
          <w:p>
            <w:pPr>
              <w:pStyle w:val="TableContents"/>
              <w:bidi w:val="0"/>
              <w:spacing w:before="0" w:after="0"/>
              <w:jc w:val="left"/>
              <w:rPr>
                <w:rFonts w:ascii="arial" w:hAnsi="arial"/>
                <w:i/>
                <w:caps w:val="false"/>
                <w:smallCaps w:val="false"/>
                <w:spacing w:val="0"/>
                <w:sz w:val="20"/>
              </w:rPr>
            </w:pPr>
            <w:r>
              <w:rPr>
                <w:rFonts w:ascii="arial" w:hAnsi="arial"/>
                <w:i/>
                <w:caps w:val="false"/>
                <w:smallCaps w:val="false"/>
                <w:spacing w:val="0"/>
                <w:sz w:val="20"/>
              </w:rPr>
              <w:t>Summary Compensation Table</w:t>
            </w:r>
          </w:p>
          <w:p>
            <w:pPr>
              <w:pStyle w:val="TableContents"/>
              <w:bidi w:val="0"/>
              <w:spacing w:before="0" w:after="0"/>
              <w:jc w:val="left"/>
              <w:rPr>
                <w:rFonts w:ascii="arial" w:hAnsi="arial"/>
                <w:sz w:val="20"/>
              </w:rPr>
            </w:pPr>
            <w:r>
              <w:rPr>
                <w:rFonts w:ascii="arial" w:hAnsi="arial"/>
                <w:sz w:val="20"/>
              </w:rPr>
              <w:t xml:space="preserve">Totals for PEO in the table above, adjusted as set forth in the table below, determined in accordance with SEC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56"/>
        <w:gridCol w:w="120"/>
        <w:gridCol w:w="60"/>
        <w:gridCol w:w="980"/>
        <w:gridCol w:w="60"/>
        <w:gridCol w:w="120"/>
        <w:gridCol w:w="60"/>
        <w:gridCol w:w="1100"/>
        <w:gridCol w:w="60"/>
        <w:gridCol w:w="120"/>
        <w:gridCol w:w="60"/>
        <w:gridCol w:w="1072"/>
        <w:gridCol w:w="60"/>
        <w:gridCol w:w="120"/>
        <w:gridCol w:w="60"/>
        <w:gridCol w:w="980"/>
        <w:gridCol w:w="60"/>
        <w:gridCol w:w="120"/>
        <w:gridCol w:w="60"/>
        <w:gridCol w:w="1100"/>
        <w:gridCol w:w="77"/>
      </w:tblGrid>
      <w:tr>
        <w:trPr/>
        <w:tc>
          <w:tcPr>
            <w:tcW w:w="37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12" w:space="0" w:color="1070B8"/>
            </w:tcBorders>
            <w:tcMar>
              <w:bottom w:w="40" w:type="dxa"/>
            </w:tcMar>
            <w:vAlign w:val="center"/>
          </w:tcPr>
          <w:p>
            <w:pPr>
              <w:pStyle w:val="TableContents"/>
              <w:bidi w:val="0"/>
              <w:spacing w:before="0" w:after="0"/>
              <w:jc w:val="left"/>
              <w:rPr>
                <w:color w:val="1F295C"/>
                <w:spacing w:val="0"/>
              </w:rPr>
            </w:pPr>
            <w:r>
              <w:rPr>
                <w:color w:val="1F295C"/>
                <w:spacing w:val="0"/>
              </w:rPr>
              <w:t>  </w:t>
            </w:r>
            <w:r>
              <w:rPr>
                <w:b/>
                <w:color w:val="1F295C"/>
                <w:spacing w:val="0"/>
              </w:rPr>
              <w:t>CEO</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040" w:type="dxa"/>
            <w:gridSpan w:val="2"/>
            <w:tcBorders>
              <w:bottom w:val="single" w:sz="12" w:space="0" w:color="1070B8"/>
            </w:tcBorders>
            <w:tcMar>
              <w:bottom w:w="40" w:type="dxa"/>
            </w:tcMar>
            <w:vAlign w:val="center"/>
          </w:tcPr>
          <w:p>
            <w:pPr>
              <w:pStyle w:val="TableContents"/>
              <w:bidi w:val="0"/>
              <w:spacing w:before="0" w:after="0"/>
              <w:jc w:val="center"/>
              <w:rPr>
                <w:rFonts w:ascii="arial" w:hAnsi="arial"/>
                <w:b/>
                <w:color w:val="1F295C"/>
                <w:spacing w:val="0"/>
                <w:sz w:val="18"/>
              </w:rPr>
            </w:pPr>
            <w:r>
              <w:rPr>
                <w:rFonts w:ascii="arial" w:hAnsi="arial"/>
                <w:b/>
                <w:color w:val="1F295C"/>
                <w:spacing w:val="0"/>
                <w:sz w:val="18"/>
              </w:rPr>
              <w:t>2024</w:t>
            </w:r>
          </w:p>
          <w:p>
            <w:pPr>
              <w:pStyle w:val="TableContents"/>
              <w:bidi w:val="0"/>
              <w:spacing w:before="0" w:after="20"/>
              <w:jc w:val="center"/>
              <w:rPr>
                <w:rFonts w:ascii="arial" w:hAnsi="arial"/>
                <w:b/>
                <w:color w:val="1F295C"/>
                <w:spacing w:val="0"/>
                <w:sz w:val="18"/>
              </w:rPr>
            </w:pPr>
            <w:r>
              <w:rPr>
                <w:rFonts w:ascii="arial" w:hAnsi="arial"/>
                <w:b/>
                <w:color w:val="1F295C"/>
                <w:spacing w:val="0"/>
                <w:sz w:val="18"/>
              </w:rPr>
              <w:t>($)</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160" w:type="dxa"/>
            <w:gridSpan w:val="2"/>
            <w:tcBorders>
              <w:bottom w:val="single" w:sz="12" w:space="0" w:color="1070B8"/>
            </w:tcBorders>
            <w:tcMar>
              <w:bottom w:w="40" w:type="dxa"/>
            </w:tcMar>
            <w:vAlign w:val="center"/>
          </w:tcPr>
          <w:p>
            <w:pPr>
              <w:pStyle w:val="TableContents"/>
              <w:bidi w:val="0"/>
              <w:spacing w:before="0" w:after="0"/>
              <w:jc w:val="center"/>
              <w:rPr>
                <w:rFonts w:ascii="arial" w:hAnsi="arial"/>
                <w:b/>
                <w:color w:val="1F295C"/>
                <w:spacing w:val="0"/>
                <w:sz w:val="18"/>
              </w:rPr>
            </w:pPr>
            <w:r>
              <w:rPr>
                <w:rFonts w:ascii="arial" w:hAnsi="arial"/>
                <w:b/>
                <w:color w:val="1F295C"/>
                <w:spacing w:val="0"/>
                <w:sz w:val="18"/>
              </w:rPr>
              <w:t>2023</w:t>
            </w:r>
          </w:p>
          <w:p>
            <w:pPr>
              <w:pStyle w:val="TableContents"/>
              <w:bidi w:val="0"/>
              <w:spacing w:before="0" w:after="20"/>
              <w:jc w:val="center"/>
              <w:rPr>
                <w:rFonts w:ascii="arial" w:hAnsi="arial"/>
                <w:b/>
                <w:color w:val="1F295C"/>
                <w:spacing w:val="0"/>
                <w:sz w:val="18"/>
              </w:rPr>
            </w:pPr>
            <w:r>
              <w:rPr>
                <w:rFonts w:ascii="arial" w:hAnsi="arial"/>
                <w:b/>
                <w:color w:val="1F295C"/>
                <w:spacing w:val="0"/>
                <w:sz w:val="18"/>
              </w:rPr>
              <w:t>($)</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132" w:type="dxa"/>
            <w:gridSpan w:val="2"/>
            <w:tcBorders>
              <w:bottom w:val="single" w:sz="12" w:space="0" w:color="1070B8"/>
            </w:tcBorders>
            <w:tcMar>
              <w:bottom w:w="40" w:type="dxa"/>
            </w:tcMar>
            <w:vAlign w:val="center"/>
          </w:tcPr>
          <w:p>
            <w:pPr>
              <w:pStyle w:val="TableContents"/>
              <w:bidi w:val="0"/>
              <w:spacing w:before="0" w:after="0"/>
              <w:jc w:val="center"/>
              <w:rPr>
                <w:rFonts w:ascii="arial" w:hAnsi="arial"/>
                <w:b/>
                <w:color w:val="1F295C"/>
                <w:spacing w:val="0"/>
                <w:sz w:val="18"/>
              </w:rPr>
            </w:pPr>
            <w:r>
              <w:rPr>
                <w:rFonts w:ascii="arial" w:hAnsi="arial"/>
                <w:b/>
                <w:color w:val="1F295C"/>
                <w:spacing w:val="0"/>
                <w:sz w:val="18"/>
              </w:rPr>
              <w:t>2022</w:t>
            </w:r>
          </w:p>
          <w:p>
            <w:pPr>
              <w:pStyle w:val="TableContents"/>
              <w:bidi w:val="0"/>
              <w:spacing w:before="0" w:after="20"/>
              <w:jc w:val="center"/>
              <w:rPr>
                <w:rFonts w:ascii="arial" w:hAnsi="arial"/>
                <w:b/>
                <w:color w:val="1F295C"/>
                <w:spacing w:val="0"/>
                <w:sz w:val="18"/>
              </w:rPr>
            </w:pPr>
            <w:r>
              <w:rPr>
                <w:rFonts w:ascii="arial" w:hAnsi="arial"/>
                <w:b/>
                <w:color w:val="1F295C"/>
                <w:spacing w:val="0"/>
                <w:sz w:val="18"/>
              </w:rPr>
              <w:t>($)</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040" w:type="dxa"/>
            <w:gridSpan w:val="2"/>
            <w:tcBorders>
              <w:bottom w:val="single" w:sz="12" w:space="0" w:color="1070B8"/>
            </w:tcBorders>
            <w:tcMar>
              <w:bottom w:w="40" w:type="dxa"/>
            </w:tcMar>
            <w:vAlign w:val="center"/>
          </w:tcPr>
          <w:p>
            <w:pPr>
              <w:pStyle w:val="TableContents"/>
              <w:bidi w:val="0"/>
              <w:spacing w:before="0" w:after="0"/>
              <w:jc w:val="center"/>
              <w:rPr>
                <w:rFonts w:ascii="arial" w:hAnsi="arial"/>
                <w:b/>
                <w:color w:val="1F295C"/>
                <w:spacing w:val="0"/>
                <w:sz w:val="18"/>
              </w:rPr>
            </w:pPr>
            <w:r>
              <w:rPr>
                <w:rFonts w:ascii="arial" w:hAnsi="arial"/>
                <w:b/>
                <w:color w:val="1F295C"/>
                <w:spacing w:val="0"/>
                <w:sz w:val="18"/>
              </w:rPr>
              <w:t>2021</w:t>
            </w:r>
          </w:p>
          <w:p>
            <w:pPr>
              <w:pStyle w:val="TableContents"/>
              <w:bidi w:val="0"/>
              <w:spacing w:before="0" w:after="20"/>
              <w:jc w:val="center"/>
              <w:rPr>
                <w:rFonts w:ascii="arial" w:hAnsi="arial"/>
                <w:b/>
                <w:color w:val="1F295C"/>
                <w:spacing w:val="0"/>
                <w:sz w:val="18"/>
              </w:rPr>
            </w:pPr>
            <w:r>
              <w:rPr>
                <w:rFonts w:ascii="arial" w:hAnsi="arial"/>
                <w:b/>
                <w:color w:val="1F295C"/>
                <w:spacing w:val="0"/>
                <w:sz w:val="18"/>
              </w:rPr>
              <w:t>($)</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160" w:type="dxa"/>
            <w:gridSpan w:val="2"/>
            <w:tcBorders>
              <w:bottom w:val="single" w:sz="12" w:space="0" w:color="1070B8"/>
            </w:tcBorders>
            <w:tcMar>
              <w:bottom w:w="40" w:type="dxa"/>
            </w:tcMar>
            <w:vAlign w:val="center"/>
          </w:tcPr>
          <w:p>
            <w:pPr>
              <w:pStyle w:val="TableContents"/>
              <w:bidi w:val="0"/>
              <w:spacing w:before="0" w:after="0"/>
              <w:jc w:val="center"/>
              <w:rPr>
                <w:rFonts w:ascii="arial" w:hAnsi="arial"/>
                <w:b/>
                <w:color w:val="1F295C"/>
                <w:spacing w:val="0"/>
                <w:sz w:val="18"/>
              </w:rPr>
            </w:pPr>
            <w:r>
              <w:rPr>
                <w:rFonts w:ascii="arial" w:hAnsi="arial"/>
                <w:b/>
                <w:color w:val="1F295C"/>
                <w:spacing w:val="0"/>
                <w:sz w:val="18"/>
              </w:rPr>
              <w:t>2020</w:t>
            </w:r>
          </w:p>
          <w:p>
            <w:pPr>
              <w:pStyle w:val="TableContents"/>
              <w:bidi w:val="0"/>
              <w:spacing w:before="0" w:after="20"/>
              <w:jc w:val="center"/>
              <w:rPr>
                <w:rFonts w:ascii="arial" w:hAnsi="arial"/>
                <w:b/>
                <w:color w:val="1F295C"/>
                <w:spacing w:val="0"/>
                <w:sz w:val="18"/>
              </w:rPr>
            </w:pPr>
            <w:r>
              <w:rPr>
                <w:rFonts w:ascii="arial" w:hAnsi="arial"/>
                <w:b/>
                <w:color w:val="1F295C"/>
                <w:spacing w:val="0"/>
                <w:sz w:val="18"/>
              </w:rPr>
              <w:t>($)</w:t>
            </w:r>
          </w:p>
        </w:tc>
        <w:tc>
          <w:tcPr>
            <w:tcW w:w="77" w:type="dxa"/>
            <w:tcBorders>
              <w:bottom w:val="single" w:sz="12" w:space="0" w:color="1070B8"/>
            </w:tcBorders>
            <w:tcMar>
              <w:bottom w:w="28" w:type="dxa"/>
            </w:tcMar>
            <w:vAlign w:val="center"/>
          </w:tcPr>
          <w:p>
            <w:pPr>
              <w:pStyle w:val="TableContents"/>
              <w:bidi w:val="0"/>
              <w:spacing w:before="0" w:after="283"/>
              <w:jc w:val="left"/>
              <w:rPr/>
            </w:pPr>
            <w:r>
              <w:rPr/>
              <w:t> </w:t>
            </w:r>
          </w:p>
        </w:tc>
      </w:tr>
      <w:tr>
        <w:trPr/>
        <w:tc>
          <w:tcPr>
            <w:tcW w:w="3756"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12"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7" w:type="dxa"/>
            <w:gridSpan w:val="4"/>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6" w:space="0" w:color="000000"/>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Summary Compensation Table (SCT) Total Compensation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6,174,107</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5,932,174</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072" w:type="dxa"/>
            <w:tcBorders>
              <w:bottom w:val="single" w:sz="6" w:space="0" w:color="000000"/>
            </w:tcBorders>
            <w:tcMar>
              <w:bottom w:w="40" w:type="dxa"/>
            </w:tcMar>
            <w:vAlign w:val="center"/>
          </w:tcPr>
          <w:p>
            <w:pPr>
              <w:pStyle w:val="TableContents"/>
              <w:bidi w:val="0"/>
              <w:spacing w:before="0" w:after="283"/>
              <w:jc w:val="right"/>
              <w:rPr/>
            </w:pPr>
            <w:r>
              <w:rPr/>
              <w:t>5,331,034</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4,351,277</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4,097,375 </w:t>
            </w:r>
          </w:p>
        </w:tc>
        <w:tc>
          <w:tcPr>
            <w:tcW w:w="77"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3756"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12"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7" w:type="dxa"/>
            <w:gridSpan w:val="4"/>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6" w:space="0" w:color="000000"/>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Aggregate change in actuarial present value of pension benefits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072"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- </w:t>
            </w:r>
          </w:p>
        </w:tc>
        <w:tc>
          <w:tcPr>
            <w:tcW w:w="77"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3756"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12"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7" w:type="dxa"/>
            <w:gridSpan w:val="4"/>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6" w:space="0" w:color="000000"/>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Service cost of pension benefits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072"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- </w:t>
            </w:r>
          </w:p>
        </w:tc>
        <w:tc>
          <w:tcPr>
            <w:tcW w:w="77"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3756"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12"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7" w:type="dxa"/>
            <w:gridSpan w:val="4"/>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6" w:space="0" w:color="000000"/>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Prior service cost of pension benefits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072"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- </w:t>
            </w:r>
          </w:p>
        </w:tc>
        <w:tc>
          <w:tcPr>
            <w:tcW w:w="77"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3756"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12"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7" w:type="dxa"/>
            <w:gridSpan w:val="4"/>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6" w:space="0" w:color="000000"/>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SCT stock award values reported in the SCT for the covered year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3,999,949</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3,837,502</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072" w:type="dxa"/>
            <w:tcBorders>
              <w:bottom w:val="single" w:sz="6" w:space="0" w:color="000000"/>
            </w:tcBorders>
            <w:tcMar>
              <w:bottom w:w="40" w:type="dxa"/>
            </w:tcMar>
            <w:vAlign w:val="center"/>
          </w:tcPr>
          <w:p>
            <w:pPr>
              <w:pStyle w:val="TableContents"/>
              <w:bidi w:val="0"/>
              <w:spacing w:before="0" w:after="283"/>
              <w:jc w:val="right"/>
              <w:rPr/>
            </w:pPr>
            <w:r>
              <w:rPr/>
              <w:t>3,377,950</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2,703,051</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2,502,713 </w:t>
            </w:r>
          </w:p>
        </w:tc>
        <w:tc>
          <w:tcPr>
            <w:tcW w:w="77"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3756"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12"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7" w:type="dxa"/>
            <w:gridSpan w:val="4"/>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6" w:space="0" w:color="1F295C"/>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SCT option award values reported in the SCT for the covered year</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10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072"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100" w:type="dxa"/>
            <w:tcBorders>
              <w:bottom w:val="single" w:sz="6" w:space="0" w:color="1F295C"/>
            </w:tcBorders>
            <w:tcMar>
              <w:bottom w:w="40" w:type="dxa"/>
            </w:tcMar>
            <w:vAlign w:val="center"/>
          </w:tcPr>
          <w:p>
            <w:pPr>
              <w:pStyle w:val="TableContents"/>
              <w:bidi w:val="0"/>
              <w:spacing w:before="0" w:after="283"/>
              <w:jc w:val="right"/>
              <w:rPr/>
            </w:pPr>
            <w:r>
              <w:rPr/>
              <w:t>- </w:t>
            </w:r>
          </w:p>
        </w:tc>
        <w:tc>
          <w:tcPr>
            <w:tcW w:w="77" w:type="dxa"/>
            <w:tcBorders>
              <w:bottom w:val="single" w:sz="6" w:space="0" w:color="1F295C"/>
            </w:tcBorders>
            <w:tcMar>
              <w:bottom w:w="40" w:type="dxa"/>
            </w:tcMar>
            <w:vAlign w:val="center"/>
          </w:tcPr>
          <w:p>
            <w:pPr>
              <w:pStyle w:val="TableContents"/>
              <w:bidi w:val="0"/>
              <w:spacing w:before="0" w:after="283"/>
              <w:jc w:val="left"/>
              <w:rPr/>
            </w:pPr>
            <w:r>
              <w:rPr/>
              <w:t> </w:t>
            </w:r>
          </w:p>
        </w:tc>
      </w:tr>
      <w:tr>
        <w:trPr/>
        <w:tc>
          <w:tcPr>
            <w:tcW w:w="3756"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12"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7" w:type="dxa"/>
            <w:gridSpan w:val="4"/>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6" w:space="0" w:color="1F295C"/>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Year end fair value for equity awards granted in the covered year that were outstanding and unvested at year end</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3,265,959</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100" w:type="dxa"/>
            <w:tcBorders>
              <w:bottom w:val="single" w:sz="6" w:space="0" w:color="1F295C"/>
            </w:tcBorders>
            <w:tcMar>
              <w:bottom w:w="40" w:type="dxa"/>
            </w:tcMar>
            <w:vAlign w:val="center"/>
          </w:tcPr>
          <w:p>
            <w:pPr>
              <w:pStyle w:val="TableContents"/>
              <w:bidi w:val="0"/>
              <w:spacing w:before="0" w:after="283"/>
              <w:jc w:val="right"/>
              <w:rPr/>
            </w:pPr>
            <w:r>
              <w:rPr/>
              <w:t>2,990,008</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072" w:type="dxa"/>
            <w:tcBorders>
              <w:bottom w:val="single" w:sz="6" w:space="0" w:color="1F295C"/>
            </w:tcBorders>
            <w:tcMar>
              <w:bottom w:w="40" w:type="dxa"/>
            </w:tcMar>
            <w:vAlign w:val="center"/>
          </w:tcPr>
          <w:p>
            <w:pPr>
              <w:pStyle w:val="TableContents"/>
              <w:bidi w:val="0"/>
              <w:spacing w:before="0" w:after="283"/>
              <w:jc w:val="right"/>
              <w:rPr/>
            </w:pPr>
            <w:r>
              <w:rPr/>
              <w:t>2,807,851</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3,062,523</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100" w:type="dxa"/>
            <w:tcBorders>
              <w:bottom w:val="single" w:sz="6" w:space="0" w:color="1F295C"/>
            </w:tcBorders>
            <w:tcMar>
              <w:bottom w:w="40" w:type="dxa"/>
            </w:tcMar>
            <w:vAlign w:val="center"/>
          </w:tcPr>
          <w:p>
            <w:pPr>
              <w:pStyle w:val="TableContents"/>
              <w:bidi w:val="0"/>
              <w:spacing w:before="0" w:after="283"/>
              <w:jc w:val="right"/>
              <w:rPr/>
            </w:pPr>
            <w:r>
              <w:rPr/>
              <w:t>3,301,003 </w:t>
            </w:r>
          </w:p>
        </w:tc>
        <w:tc>
          <w:tcPr>
            <w:tcW w:w="77" w:type="dxa"/>
            <w:tcBorders>
              <w:bottom w:val="single" w:sz="6" w:space="0" w:color="1F295C"/>
            </w:tcBorders>
            <w:tcMar>
              <w:bottom w:w="40" w:type="dxa"/>
            </w:tcMar>
            <w:vAlign w:val="center"/>
          </w:tcPr>
          <w:p>
            <w:pPr>
              <w:pStyle w:val="TableContents"/>
              <w:bidi w:val="0"/>
              <w:spacing w:before="0" w:after="283"/>
              <w:jc w:val="left"/>
              <w:rPr/>
            </w:pPr>
            <w:r>
              <w:rPr/>
              <w:t> </w:t>
            </w:r>
          </w:p>
        </w:tc>
      </w:tr>
      <w:tr>
        <w:trPr/>
        <w:tc>
          <w:tcPr>
            <w:tcW w:w="3756"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12"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7" w:type="dxa"/>
            <w:gridSpan w:val="4"/>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6" w:space="0" w:color="1F295C"/>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Year-over-year change in fair value of equity awards granted in prior years that are outstanding and unvested as of the covered years</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(388,818)</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100" w:type="dxa"/>
            <w:tcBorders>
              <w:bottom w:val="single" w:sz="6" w:space="0" w:color="1F295C"/>
            </w:tcBorders>
            <w:tcMar>
              <w:bottom w:w="40" w:type="dxa"/>
            </w:tcMar>
            <w:vAlign w:val="center"/>
          </w:tcPr>
          <w:p>
            <w:pPr>
              <w:pStyle w:val="TableContents"/>
              <w:bidi w:val="0"/>
              <w:spacing w:before="0" w:after="283"/>
              <w:jc w:val="right"/>
              <w:rPr/>
            </w:pPr>
            <w:r>
              <w:rPr/>
              <w:t>4,254,444</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072" w:type="dxa"/>
            <w:tcBorders>
              <w:bottom w:val="single" w:sz="6" w:space="0" w:color="1F295C"/>
            </w:tcBorders>
            <w:tcMar>
              <w:bottom w:w="40" w:type="dxa"/>
            </w:tcMar>
            <w:vAlign w:val="center"/>
          </w:tcPr>
          <w:p>
            <w:pPr>
              <w:pStyle w:val="TableContents"/>
              <w:bidi w:val="0"/>
              <w:spacing w:before="0" w:after="283"/>
              <w:jc w:val="right"/>
              <w:rPr/>
            </w:pPr>
            <w:r>
              <w:rPr/>
              <w:t>(2,062,567)</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2,053,206</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100" w:type="dxa"/>
            <w:tcBorders>
              <w:bottom w:val="single" w:sz="6" w:space="0" w:color="1F295C"/>
            </w:tcBorders>
            <w:tcMar>
              <w:bottom w:w="40" w:type="dxa"/>
            </w:tcMar>
            <w:vAlign w:val="center"/>
          </w:tcPr>
          <w:p>
            <w:pPr>
              <w:pStyle w:val="TableContents"/>
              <w:bidi w:val="0"/>
              <w:spacing w:before="0" w:after="283"/>
              <w:jc w:val="right"/>
              <w:rPr/>
            </w:pPr>
            <w:r>
              <w:rPr/>
              <w:t>1,850,633 </w:t>
            </w:r>
          </w:p>
        </w:tc>
        <w:tc>
          <w:tcPr>
            <w:tcW w:w="77" w:type="dxa"/>
            <w:tcBorders>
              <w:bottom w:val="single" w:sz="6" w:space="0" w:color="1F295C"/>
            </w:tcBorders>
            <w:tcMar>
              <w:bottom w:w="40" w:type="dxa"/>
            </w:tcMar>
            <w:vAlign w:val="center"/>
          </w:tcPr>
          <w:p>
            <w:pPr>
              <w:pStyle w:val="TableContents"/>
              <w:bidi w:val="0"/>
              <w:spacing w:before="0" w:after="283"/>
              <w:jc w:val="left"/>
              <w:rPr/>
            </w:pPr>
            <w:r>
              <w:rPr/>
              <w:t> </w:t>
            </w:r>
          </w:p>
        </w:tc>
      </w:tr>
      <w:tr>
        <w:trPr/>
        <w:tc>
          <w:tcPr>
            <w:tcW w:w="3756"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12"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7" w:type="dxa"/>
            <w:gridSpan w:val="4"/>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6" w:space="0" w:color="1F295C"/>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Year-over-year change in fair value of equity awards granted in prior years that vested in the covered year</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1,053,946</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100" w:type="dxa"/>
            <w:tcBorders>
              <w:bottom w:val="single" w:sz="6" w:space="0" w:color="1F295C"/>
            </w:tcBorders>
            <w:tcMar>
              <w:bottom w:w="40" w:type="dxa"/>
            </w:tcMar>
            <w:vAlign w:val="center"/>
          </w:tcPr>
          <w:p>
            <w:pPr>
              <w:pStyle w:val="TableContents"/>
              <w:bidi w:val="0"/>
              <w:spacing w:before="0" w:after="283"/>
              <w:jc w:val="right"/>
              <w:rPr/>
            </w:pPr>
            <w:r>
              <w:rPr/>
              <w:t>983,445</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072" w:type="dxa"/>
            <w:tcBorders>
              <w:bottom w:val="single" w:sz="6" w:space="0" w:color="1F295C"/>
            </w:tcBorders>
            <w:tcMar>
              <w:bottom w:w="40" w:type="dxa"/>
            </w:tcMar>
            <w:vAlign w:val="center"/>
          </w:tcPr>
          <w:p>
            <w:pPr>
              <w:pStyle w:val="TableContents"/>
              <w:bidi w:val="0"/>
              <w:spacing w:before="0" w:after="283"/>
              <w:jc w:val="right"/>
              <w:rPr/>
            </w:pPr>
            <w:r>
              <w:rPr/>
              <w:t>(2,093,505)</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892,293</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100" w:type="dxa"/>
            <w:tcBorders>
              <w:bottom w:val="single" w:sz="6" w:space="0" w:color="1F295C"/>
            </w:tcBorders>
            <w:tcMar>
              <w:bottom w:w="40" w:type="dxa"/>
            </w:tcMar>
            <w:vAlign w:val="center"/>
          </w:tcPr>
          <w:p>
            <w:pPr>
              <w:pStyle w:val="TableContents"/>
              <w:bidi w:val="0"/>
              <w:spacing w:before="0" w:after="283"/>
              <w:jc w:val="right"/>
              <w:rPr/>
            </w:pPr>
            <w:r>
              <w:rPr/>
              <w:t>(1,198,387) </w:t>
            </w:r>
          </w:p>
        </w:tc>
        <w:tc>
          <w:tcPr>
            <w:tcW w:w="77" w:type="dxa"/>
            <w:tcBorders>
              <w:bottom w:val="single" w:sz="6" w:space="0" w:color="1F295C"/>
            </w:tcBorders>
            <w:tcMar>
              <w:bottom w:w="40" w:type="dxa"/>
            </w:tcMar>
            <w:vAlign w:val="center"/>
          </w:tcPr>
          <w:p>
            <w:pPr>
              <w:pStyle w:val="TableContents"/>
              <w:bidi w:val="0"/>
              <w:spacing w:before="0" w:after="283"/>
              <w:jc w:val="left"/>
              <w:rPr/>
            </w:pPr>
            <w:r>
              <w:rPr/>
              <w:t> </w:t>
            </w:r>
          </w:p>
        </w:tc>
      </w:tr>
      <w:tr>
        <w:trPr/>
        <w:tc>
          <w:tcPr>
            <w:tcW w:w="3756"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12"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7" w:type="dxa"/>
            <w:gridSpan w:val="4"/>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6" w:space="0" w:color="1F295C"/>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Fair value as of prior-year end of equity awards granted in prior years that failed to vest in the covered year</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10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072"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100" w:type="dxa"/>
            <w:tcBorders>
              <w:bottom w:val="single" w:sz="6" w:space="0" w:color="1F295C"/>
            </w:tcBorders>
            <w:tcMar>
              <w:bottom w:w="40" w:type="dxa"/>
            </w:tcMar>
            <w:vAlign w:val="center"/>
          </w:tcPr>
          <w:p>
            <w:pPr>
              <w:pStyle w:val="TableContents"/>
              <w:bidi w:val="0"/>
              <w:spacing w:before="0" w:after="283"/>
              <w:jc w:val="right"/>
              <w:rPr/>
            </w:pPr>
            <w:r>
              <w:rPr/>
              <w:t>- </w:t>
            </w:r>
          </w:p>
        </w:tc>
        <w:tc>
          <w:tcPr>
            <w:tcW w:w="77" w:type="dxa"/>
            <w:tcBorders>
              <w:bottom w:val="single" w:sz="6" w:space="0" w:color="1F295C"/>
            </w:tcBorders>
            <w:tcMar>
              <w:bottom w:w="40" w:type="dxa"/>
            </w:tcMar>
            <w:vAlign w:val="center"/>
          </w:tcPr>
          <w:p>
            <w:pPr>
              <w:pStyle w:val="TableContents"/>
              <w:bidi w:val="0"/>
              <w:spacing w:before="0" w:after="283"/>
              <w:jc w:val="left"/>
              <w:rPr/>
            </w:pPr>
            <w:r>
              <w:rPr/>
              <w:t> </w:t>
            </w:r>
          </w:p>
        </w:tc>
      </w:tr>
      <w:tr>
        <w:trPr/>
        <w:tc>
          <w:tcPr>
            <w:tcW w:w="3756"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12"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7" w:type="dxa"/>
            <w:gridSpan w:val="4"/>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6" w:space="0" w:color="1F295C"/>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Dollar value of dividends/earnings paid on equity awards in the covered year</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137,767</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100" w:type="dxa"/>
            <w:tcBorders>
              <w:bottom w:val="single" w:sz="6" w:space="0" w:color="1F295C"/>
            </w:tcBorders>
            <w:tcMar>
              <w:bottom w:w="40" w:type="dxa"/>
            </w:tcMar>
            <w:vAlign w:val="center"/>
          </w:tcPr>
          <w:p>
            <w:pPr>
              <w:pStyle w:val="TableContents"/>
              <w:bidi w:val="0"/>
              <w:spacing w:before="0" w:after="283"/>
              <w:jc w:val="right"/>
              <w:rPr/>
            </w:pPr>
            <w:r>
              <w:rPr/>
              <w:t>111,476</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072" w:type="dxa"/>
            <w:tcBorders>
              <w:bottom w:val="single" w:sz="6" w:space="0" w:color="1F295C"/>
            </w:tcBorders>
            <w:tcMar>
              <w:bottom w:w="40" w:type="dxa"/>
            </w:tcMar>
            <w:vAlign w:val="center"/>
          </w:tcPr>
          <w:p>
            <w:pPr>
              <w:pStyle w:val="TableContents"/>
              <w:bidi w:val="0"/>
              <w:spacing w:before="0" w:after="283"/>
              <w:jc w:val="right"/>
              <w:rPr/>
            </w:pPr>
            <w:r>
              <w:rPr/>
              <w:t>92,108</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10,209</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100" w:type="dxa"/>
            <w:tcBorders>
              <w:bottom w:val="single" w:sz="6" w:space="0" w:color="1F295C"/>
            </w:tcBorders>
            <w:tcMar>
              <w:bottom w:w="40" w:type="dxa"/>
            </w:tcMar>
            <w:vAlign w:val="center"/>
          </w:tcPr>
          <w:p>
            <w:pPr>
              <w:pStyle w:val="TableContents"/>
              <w:bidi w:val="0"/>
              <w:spacing w:before="0" w:after="283"/>
              <w:jc w:val="right"/>
              <w:rPr/>
            </w:pPr>
            <w:r>
              <w:rPr/>
              <w:t>- </w:t>
            </w:r>
          </w:p>
        </w:tc>
        <w:tc>
          <w:tcPr>
            <w:tcW w:w="77" w:type="dxa"/>
            <w:tcBorders>
              <w:bottom w:val="single" w:sz="6" w:space="0" w:color="1F295C"/>
            </w:tcBorders>
            <w:tcMar>
              <w:bottom w:w="40" w:type="dxa"/>
            </w:tcMar>
            <w:vAlign w:val="center"/>
          </w:tcPr>
          <w:p>
            <w:pPr>
              <w:pStyle w:val="TableContents"/>
              <w:bidi w:val="0"/>
              <w:spacing w:before="0" w:after="283"/>
              <w:jc w:val="left"/>
              <w:rPr/>
            </w:pPr>
            <w:r>
              <w:rPr/>
              <w:t> </w:t>
            </w:r>
          </w:p>
        </w:tc>
      </w:tr>
      <w:tr>
        <w:trPr/>
        <w:tc>
          <w:tcPr>
            <w:tcW w:w="3756"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12"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7" w:type="dxa"/>
            <w:gridSpan w:val="4"/>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6" w:space="0" w:color="1F295C"/>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Excess fair value for equity award modifications</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10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072"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100" w:type="dxa"/>
            <w:tcBorders>
              <w:bottom w:val="single" w:sz="6" w:space="0" w:color="1F295C"/>
            </w:tcBorders>
            <w:tcMar>
              <w:bottom w:w="40" w:type="dxa"/>
            </w:tcMar>
            <w:vAlign w:val="center"/>
          </w:tcPr>
          <w:p>
            <w:pPr>
              <w:pStyle w:val="TableContents"/>
              <w:bidi w:val="0"/>
              <w:spacing w:before="0" w:after="283"/>
              <w:jc w:val="right"/>
              <w:rPr/>
            </w:pPr>
            <w:r>
              <w:rPr/>
              <w:t>- </w:t>
            </w:r>
          </w:p>
        </w:tc>
        <w:tc>
          <w:tcPr>
            <w:tcW w:w="77" w:type="dxa"/>
            <w:tcBorders>
              <w:bottom w:val="single" w:sz="6" w:space="0" w:color="1F295C"/>
            </w:tcBorders>
            <w:tcMar>
              <w:bottom w:w="40" w:type="dxa"/>
            </w:tcMar>
            <w:vAlign w:val="center"/>
          </w:tcPr>
          <w:p>
            <w:pPr>
              <w:pStyle w:val="TableContents"/>
              <w:bidi w:val="0"/>
              <w:spacing w:before="0" w:after="283"/>
              <w:jc w:val="left"/>
              <w:rPr/>
            </w:pPr>
            <w:r>
              <w:rPr/>
              <w:t> </w:t>
            </w:r>
          </w:p>
        </w:tc>
      </w:tr>
      <w:tr>
        <w:trPr/>
        <w:tc>
          <w:tcPr>
            <w:tcW w:w="3756"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12"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7" w:type="dxa"/>
            <w:gridSpan w:val="4"/>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12" w:space="0" w:color="1070B8"/>
            </w:tcBorders>
            <w:shd w:fill="D5DBE3" w:val="clear"/>
            <w:tcMar>
              <w:bottom w:w="60" w:type="dxa"/>
            </w:tcMar>
            <w:vAlign w:val="center"/>
          </w:tcPr>
          <w:p>
            <w:pPr>
              <w:pStyle w:val="TableContents"/>
              <w:bidi w:val="0"/>
              <w:spacing w:before="0" w:after="0"/>
              <w:jc w:val="left"/>
              <w:rPr>
                <w:rFonts w:ascii="arial" w:hAnsi="arial"/>
                <w:sz w:val="18"/>
              </w:rPr>
            </w:pPr>
            <w:r>
              <w:rPr>
                <w:rFonts w:ascii="arial" w:hAnsi="arial"/>
                <w:sz w:val="18"/>
              </w:rPr>
              <w:t>Compensation Actually Paid to PEO</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980" w:type="dxa"/>
            <w:tcBorders>
              <w:bottom w:val="single" w:sz="12" w:space="0" w:color="1070B8"/>
            </w:tcBorders>
            <w:tcMar>
              <w:bottom w:w="60" w:type="dxa"/>
            </w:tcMar>
            <w:vAlign w:val="center"/>
          </w:tcPr>
          <w:p>
            <w:pPr>
              <w:pStyle w:val="TableContents"/>
              <w:bidi w:val="0"/>
              <w:spacing w:before="0" w:after="283"/>
              <w:jc w:val="right"/>
              <w:rPr/>
            </w:pPr>
            <w:r>
              <w:rPr/>
              <w:t>6,243,012</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1100" w:type="dxa"/>
            <w:tcBorders>
              <w:bottom w:val="single" w:sz="12" w:space="0" w:color="1070B8"/>
            </w:tcBorders>
            <w:tcMar>
              <w:bottom w:w="60" w:type="dxa"/>
            </w:tcMar>
            <w:vAlign w:val="center"/>
          </w:tcPr>
          <w:p>
            <w:pPr>
              <w:pStyle w:val="TableContents"/>
              <w:bidi w:val="0"/>
              <w:spacing w:before="0" w:after="283"/>
              <w:jc w:val="right"/>
              <w:rPr/>
            </w:pPr>
            <w:r>
              <w:rPr/>
              <w:t>10,434,046</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1072" w:type="dxa"/>
            <w:tcBorders>
              <w:bottom w:val="single" w:sz="12" w:space="0" w:color="1070B8"/>
            </w:tcBorders>
            <w:tcMar>
              <w:bottom w:w="60" w:type="dxa"/>
            </w:tcMar>
            <w:vAlign w:val="center"/>
          </w:tcPr>
          <w:p>
            <w:pPr>
              <w:pStyle w:val="TableContents"/>
              <w:bidi w:val="0"/>
              <w:spacing w:before="0" w:after="283"/>
              <w:jc w:val="right"/>
              <w:rPr/>
            </w:pPr>
            <w:r>
              <w:rPr/>
              <w:t>696,971</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980" w:type="dxa"/>
            <w:tcBorders>
              <w:bottom w:val="single" w:sz="12" w:space="0" w:color="1070B8"/>
            </w:tcBorders>
            <w:tcMar>
              <w:bottom w:w="60" w:type="dxa"/>
            </w:tcMar>
            <w:vAlign w:val="center"/>
          </w:tcPr>
          <w:p>
            <w:pPr>
              <w:pStyle w:val="TableContents"/>
              <w:bidi w:val="0"/>
              <w:spacing w:before="0" w:after="283"/>
              <w:jc w:val="right"/>
              <w:rPr/>
            </w:pPr>
            <w:r>
              <w:rPr/>
              <w:t>7,666,457</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1100" w:type="dxa"/>
            <w:tcBorders>
              <w:bottom w:val="single" w:sz="12" w:space="0" w:color="1070B8"/>
            </w:tcBorders>
            <w:tcMar>
              <w:bottom w:w="60" w:type="dxa"/>
            </w:tcMar>
            <w:vAlign w:val="center"/>
          </w:tcPr>
          <w:p>
            <w:pPr>
              <w:pStyle w:val="TableContents"/>
              <w:bidi w:val="0"/>
              <w:spacing w:before="0" w:after="283"/>
              <w:jc w:val="right"/>
              <w:rPr/>
            </w:pPr>
            <w:r>
              <w:rPr/>
              <w:t>5,547,911 </w:t>
            </w:r>
          </w:p>
        </w:tc>
        <w:tc>
          <w:tcPr>
            <w:tcW w:w="77" w:type="dxa"/>
            <w:tcBorders>
              <w:bottom w:val="single" w:sz="12" w:space="0" w:color="1070B8"/>
            </w:tcBorders>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3"/>
        <w:gridCol w:w="9877"/>
      </w:tblGrid>
      <w:tr>
        <w:trPr/>
        <w:tc>
          <w:tcPr>
            <w:tcW w:w="75"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(3)</w:t>
            </w:r>
          </w:p>
        </w:tc>
        <w:tc>
          <w:tcPr>
            <w:tcW w:w="9877" w:type="dxa"/>
            <w:tcBorders/>
            <w:vAlign w:val="center"/>
          </w:tcPr>
          <w:p>
            <w:pPr>
              <w:pStyle w:val="TableContents"/>
              <w:bidi w:val="0"/>
              <w:spacing w:before="0" w:after="0"/>
              <w:jc w:val="left"/>
              <w:rPr>
                <w:rFonts w:ascii="arial" w:hAnsi="arial"/>
                <w:sz w:val="20"/>
              </w:rPr>
            </w:pPr>
            <w:r>
              <w:rPr>
                <w:rFonts w:ascii="arial" w:hAnsi="arial"/>
                <w:sz w:val="20"/>
              </w:rPr>
              <w:t xml:space="preserve">Our </w:t>
            </w:r>
          </w:p>
          <w:p>
            <w:pPr>
              <w:pStyle w:val="TableContents"/>
              <w:bidi w:val="0"/>
              <w:spacing w:before="0" w:after="0"/>
              <w:jc w:val="left"/>
              <w:rPr>
                <w:rFonts w:ascii="arial" w:hAnsi="arial"/>
                <w:spacing w:val="0"/>
                <w:sz w:val="20"/>
              </w:rPr>
            </w:pPr>
            <w:r>
              <w:rPr>
                <w:rFonts w:ascii="arial" w:hAnsi="arial"/>
                <w:spacing w:val="0"/>
                <w:sz w:val="20"/>
              </w:rPr>
              <w:t>Non-PEO</w:t>
            </w:r>
          </w:p>
          <w:p>
            <w:pPr>
              <w:pStyle w:val="TableContents"/>
              <w:bidi w:val="0"/>
              <w:spacing w:before="0" w:after="0"/>
              <w:jc w:val="left"/>
              <w:rPr>
                <w:rFonts w:ascii="arial" w:hAnsi="arial"/>
                <w:sz w:val="20"/>
              </w:rPr>
            </w:pPr>
            <w:r>
              <w:rPr>
                <w:rFonts w:ascii="arial" w:hAnsi="arial"/>
                <w:sz w:val="20"/>
              </w:rPr>
              <w:t xml:space="preserve">Named Executive Officers were Brad Wheeler, Jeffrey Hire, Michael Miller and Jason Niswonger for 2024 and Jay Elliott, Jeffrey Hire, Michael Miller and Jason Niswonger for each of 2023, 2022, 2021 and 2020. </w:t>
            </w:r>
          </w:p>
        </w:tc>
      </w:tr>
    </w:tbl>
    <w:tbl>
      <w:tblPr>
        <w:tblW w:w="10205" w:type="dxa"/>
        <w:jc w:val="left"/>
        <w:tblInd w:w="0" w:type="dxa"/>
        <w:tblLayout w:type="fixed"/>
        <w:tblCellMar>
          <w:top w:w="0" w:type="dxa"/>
          <w:left w:w="0" w:type="dxa"/>
          <w:bottom w:w="0" w:type="dxa"/>
          <w:right w:w="0" w:type="dxa"/>
        </w:tblCellMar>
      </w:tblPr>
      <w:tblGrid>
        <w:gridCol w:w="75"/>
        <w:gridCol w:w="270"/>
        <w:gridCol w:w="9860"/>
      </w:tblGrid>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(4)</w:t>
            </w:r>
          </w:p>
        </w:tc>
        <w:tc>
          <w:tcPr>
            <w:tcW w:w="9860" w:type="dxa"/>
            <w:tcBorders/>
            <w:vAlign w:val="center"/>
          </w:tcPr>
          <w:p>
            <w:pPr>
              <w:pStyle w:val="TableContents"/>
              <w:bidi w:val="0"/>
              <w:spacing w:before="0" w:after="0"/>
              <w:jc w:val="left"/>
              <w:rPr>
                <w:rFonts w:ascii="arial" w:hAnsi="arial"/>
                <w:sz w:val="20"/>
              </w:rPr>
            </w:pPr>
            <w:r>
              <w:rPr>
                <w:rFonts w:ascii="arial" w:hAnsi="arial"/>
                <w:sz w:val="20"/>
              </w:rPr>
              <w:t xml:space="preserve">Average compensation actually paid to our non-PEO NEOs in each of 2024, 2023, 2022, 2021 and 2020 reflects the amounts in the </w:t>
            </w:r>
          </w:p>
          <w:p>
            <w:pPr>
              <w:pStyle w:val="TableContents"/>
              <w:bidi w:val="0"/>
              <w:spacing w:before="0" w:after="0"/>
              <w:jc w:val="left"/>
              <w:rPr>
                <w:rFonts w:ascii="arial" w:hAnsi="arial"/>
                <w:i/>
                <w:caps w:val="false"/>
                <w:smallCaps w:val="false"/>
                <w:spacing w:val="0"/>
                <w:sz w:val="20"/>
              </w:rPr>
            </w:pPr>
            <w:r>
              <w:rPr>
                <w:rFonts w:ascii="arial" w:hAnsi="arial"/>
                <w:i/>
                <w:caps w:val="false"/>
                <w:smallCaps w:val="false"/>
                <w:spacing w:val="0"/>
                <w:sz w:val="20"/>
              </w:rPr>
              <w:t xml:space="preserve">Summary Compensation Table </w:t>
            </w:r>
          </w:p>
          <w:p>
            <w:pPr>
              <w:pStyle w:val="TableContents"/>
              <w:bidi w:val="0"/>
              <w:spacing w:before="0" w:after="0"/>
              <w:jc w:val="left"/>
              <w:rPr>
                <w:rFonts w:ascii="arial" w:hAnsi="arial"/>
                <w:sz w:val="20"/>
              </w:rPr>
            </w:pPr>
            <w:r>
              <w:rPr>
                <w:rFonts w:ascii="arial" w:hAnsi="arial"/>
                <w:sz w:val="20"/>
              </w:rPr>
              <w:t xml:space="preserve">Totals for non-PEO NEO’s in the third column of the table above, adjusted as set forth in the table below, determined in accordance with SEC rules.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1070B8"/>
        </w:rPr>
      </w:pPr>
      <w:r>
        <w:rPr>
          <w:bdr w:val="single" w:sz="2" w:space="1" w:color="1070B8"/>
        </w:rPr>
        <w:t> </w:t>
      </w:r>
    </w:p>
    <w:p>
      <w:pPr>
        <w:pStyle w:val="TextBody"/>
        <w:bidi w:val="0"/>
        <w:spacing w:before="0" w:after="0"/>
        <w:jc w:val="center"/>
        <w:rPr>
          <w:rFonts w:ascii="arial" w:hAnsi="arial"/>
          <w:b/>
          <w:color w:val="1070B8"/>
          <w:spacing w:val="0"/>
          <w:sz w:val="20"/>
        </w:rPr>
      </w:pPr>
      <w:r>
        <w:rPr>
          <w:rFonts w:ascii="arial" w:hAnsi="arial"/>
          <w:b/>
          <w:color w:val="1070B8"/>
          <w:spacing w:val="0"/>
          <w:sz w:val="20"/>
        </w:rPr>
        <w:t xml:space="preserve">IBP 2025 Proxy Statement </w:t>
      </w:r>
    </w:p>
    <w:p>
      <w:pPr>
        <w:pStyle w:val="TextBody"/>
        <w:bidi w:val="0"/>
        <w:spacing w:before="80" w:after="0"/>
        <w:jc w:val="center"/>
        <w:rPr>
          <w:rFonts w:ascii="arial" w:hAnsi="arial"/>
          <w:color w:val="1070B8"/>
          <w:spacing w:val="0"/>
          <w:sz w:val="20"/>
        </w:rPr>
      </w:pPr>
      <w:r>
        <w:rPr>
          <w:rFonts w:ascii="arial" w:hAnsi="arial"/>
          <w:color w:val="1070B8"/>
          <w:spacing w:val="0"/>
          <w:sz w:val="20"/>
        </w:rPr>
        <w:t xml:space="preserve">Executive Compensation </w:t>
      </w:r>
    </w:p>
    <w:p>
      <w:pPr>
        <w:pStyle w:val="TextBody"/>
        <w:bidi w:val="0"/>
        <w:spacing w:before="0" w:after="0"/>
        <w:jc w:val="left"/>
        <w:rPr/>
      </w:pPr>
      <w:r>
        <w:rPr/>
        <w:t> </w:t>
      </w:r>
    </w:p>
    <w:p>
      <w:pPr>
        <w:pStyle w:val="TextBody"/>
        <w:bidi w:val="0"/>
        <w:spacing w:before="0" w:after="0"/>
        <w:jc w:val="center"/>
        <w:rPr>
          <w:rFonts w:ascii="arial" w:hAnsi="arial"/>
          <w:color w:val="1070B8"/>
          <w:spacing w:val="0"/>
          <w:sz w:val="20"/>
        </w:rPr>
      </w:pPr>
      <w:r>
        <w:rPr>
          <w:rFonts w:ascii="arial" w:hAnsi="arial"/>
          <w:color w:val="1070B8"/>
          <w:spacing w:val="0"/>
          <w:sz w:val="20"/>
        </w:rPr>
        <w:t xml:space="preserve">76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058"/>
        <w:gridCol w:w="120"/>
        <w:gridCol w:w="60"/>
        <w:gridCol w:w="980"/>
        <w:gridCol w:w="60"/>
        <w:gridCol w:w="120"/>
        <w:gridCol w:w="60"/>
        <w:gridCol w:w="980"/>
        <w:gridCol w:w="60"/>
        <w:gridCol w:w="120"/>
        <w:gridCol w:w="60"/>
        <w:gridCol w:w="980"/>
        <w:gridCol w:w="60"/>
        <w:gridCol w:w="120"/>
        <w:gridCol w:w="60"/>
        <w:gridCol w:w="980"/>
        <w:gridCol w:w="60"/>
        <w:gridCol w:w="120"/>
        <w:gridCol w:w="60"/>
        <w:gridCol w:w="1011"/>
        <w:gridCol w:w="76"/>
      </w:tblGrid>
      <w:tr>
        <w:trPr/>
        <w:tc>
          <w:tcPr>
            <w:tcW w:w="40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12" w:space="0" w:color="1070B8"/>
            </w:tcBorders>
            <w:tcMar>
              <w:bottom w:w="40" w:type="dxa"/>
            </w:tcMar>
            <w:vAlign w:val="center"/>
          </w:tcPr>
          <w:p>
            <w:pPr>
              <w:pStyle w:val="TableContents"/>
              <w:bidi w:val="0"/>
              <w:spacing w:before="0" w:after="0"/>
              <w:jc w:val="left"/>
              <w:rPr/>
            </w:pPr>
            <w:r>
              <w:rPr/>
              <w:t>  </w:t>
            </w:r>
            <w:r>
              <w:rPr>
                <w:rFonts w:ascii="arial" w:hAnsi="arial"/>
                <w:sz w:val="18"/>
              </w:rPr>
              <w:t>Average non-PEO NEOs</w:t>
            </w:r>
          </w:p>
          <w:p>
            <w:pPr>
              <w:pStyle w:val="TableContents"/>
              <w:bidi w:val="0"/>
              <w:spacing w:before="0" w:after="20"/>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040" w:type="dxa"/>
            <w:gridSpan w:val="2"/>
            <w:tcBorders>
              <w:bottom w:val="single" w:sz="12" w:space="0" w:color="1070B8"/>
            </w:tcBorders>
            <w:tcMar>
              <w:bottom w:w="40" w:type="dxa"/>
            </w:tcMar>
            <w:vAlign w:val="center"/>
          </w:tcPr>
          <w:p>
            <w:pPr>
              <w:pStyle w:val="TableContents"/>
              <w:bidi w:val="0"/>
              <w:spacing w:before="0" w:after="0"/>
              <w:jc w:val="center"/>
              <w:rPr>
                <w:rFonts w:ascii="arial" w:hAnsi="arial"/>
                <w:b/>
                <w:color w:val="1F295C"/>
                <w:spacing w:val="0"/>
                <w:sz w:val="18"/>
              </w:rPr>
            </w:pPr>
            <w:r>
              <w:rPr>
                <w:rFonts w:ascii="arial" w:hAnsi="arial"/>
                <w:b/>
                <w:color w:val="1F295C"/>
                <w:spacing w:val="0"/>
                <w:sz w:val="18"/>
              </w:rPr>
              <w:t>2024</w:t>
            </w:r>
          </w:p>
          <w:p>
            <w:pPr>
              <w:pStyle w:val="TableContents"/>
              <w:bidi w:val="0"/>
              <w:spacing w:before="0" w:after="0"/>
              <w:jc w:val="center"/>
              <w:rPr>
                <w:rFonts w:ascii="arial" w:hAnsi="arial"/>
                <w:b/>
                <w:color w:val="1F295C"/>
                <w:spacing w:val="0"/>
                <w:sz w:val="18"/>
              </w:rPr>
            </w:pPr>
            <w:r>
              <w:rPr>
                <w:rFonts w:ascii="arial" w:hAnsi="arial"/>
                <w:b/>
                <w:color w:val="1F295C"/>
                <w:spacing w:val="0"/>
                <w:sz w:val="18"/>
              </w:rPr>
              <w:t>($)</w:t>
            </w:r>
          </w:p>
          <w:p>
            <w:pPr>
              <w:pStyle w:val="TableContents"/>
              <w:bidi w:val="0"/>
              <w:spacing w:before="0" w:after="20"/>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040" w:type="dxa"/>
            <w:gridSpan w:val="2"/>
            <w:tcBorders>
              <w:bottom w:val="single" w:sz="12" w:space="0" w:color="1070B8"/>
            </w:tcBorders>
            <w:tcMar>
              <w:bottom w:w="40" w:type="dxa"/>
            </w:tcMar>
            <w:vAlign w:val="center"/>
          </w:tcPr>
          <w:p>
            <w:pPr>
              <w:pStyle w:val="TableContents"/>
              <w:bidi w:val="0"/>
              <w:spacing w:before="0" w:after="0"/>
              <w:jc w:val="center"/>
              <w:rPr>
                <w:rFonts w:ascii="arial" w:hAnsi="arial"/>
                <w:b/>
                <w:color w:val="1F295C"/>
                <w:spacing w:val="0"/>
                <w:sz w:val="18"/>
              </w:rPr>
            </w:pPr>
            <w:r>
              <w:rPr>
                <w:rFonts w:ascii="arial" w:hAnsi="arial"/>
                <w:b/>
                <w:color w:val="1F295C"/>
                <w:spacing w:val="0"/>
                <w:sz w:val="18"/>
              </w:rPr>
              <w:t>2023</w:t>
            </w:r>
          </w:p>
          <w:p>
            <w:pPr>
              <w:pStyle w:val="TableContents"/>
              <w:bidi w:val="0"/>
              <w:spacing w:before="0" w:after="0"/>
              <w:jc w:val="center"/>
              <w:rPr>
                <w:rFonts w:ascii="arial" w:hAnsi="arial"/>
                <w:b/>
                <w:color w:val="1F295C"/>
                <w:spacing w:val="0"/>
                <w:sz w:val="18"/>
              </w:rPr>
            </w:pPr>
            <w:r>
              <w:rPr>
                <w:rFonts w:ascii="arial" w:hAnsi="arial"/>
                <w:b/>
                <w:color w:val="1F295C"/>
                <w:spacing w:val="0"/>
                <w:sz w:val="18"/>
              </w:rPr>
              <w:t>($)</w:t>
            </w:r>
          </w:p>
          <w:p>
            <w:pPr>
              <w:pStyle w:val="TableContents"/>
              <w:bidi w:val="0"/>
              <w:spacing w:before="0" w:after="20"/>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040" w:type="dxa"/>
            <w:gridSpan w:val="2"/>
            <w:tcBorders>
              <w:bottom w:val="single" w:sz="12" w:space="0" w:color="1070B8"/>
            </w:tcBorders>
            <w:tcMar>
              <w:bottom w:w="40" w:type="dxa"/>
            </w:tcMar>
            <w:vAlign w:val="center"/>
          </w:tcPr>
          <w:p>
            <w:pPr>
              <w:pStyle w:val="TableContents"/>
              <w:bidi w:val="0"/>
              <w:spacing w:before="0" w:after="0"/>
              <w:jc w:val="center"/>
              <w:rPr>
                <w:rFonts w:ascii="arial" w:hAnsi="arial"/>
                <w:b/>
                <w:color w:val="1F295C"/>
                <w:spacing w:val="0"/>
                <w:sz w:val="18"/>
              </w:rPr>
            </w:pPr>
            <w:r>
              <w:rPr>
                <w:rFonts w:ascii="arial" w:hAnsi="arial"/>
                <w:b/>
                <w:color w:val="1F295C"/>
                <w:spacing w:val="0"/>
                <w:sz w:val="18"/>
              </w:rPr>
              <w:t>2022</w:t>
            </w:r>
          </w:p>
          <w:p>
            <w:pPr>
              <w:pStyle w:val="TableContents"/>
              <w:bidi w:val="0"/>
              <w:spacing w:before="0" w:after="0"/>
              <w:jc w:val="center"/>
              <w:rPr>
                <w:rFonts w:ascii="arial" w:hAnsi="arial"/>
                <w:b/>
                <w:color w:val="1F295C"/>
                <w:spacing w:val="0"/>
                <w:sz w:val="18"/>
              </w:rPr>
            </w:pPr>
            <w:r>
              <w:rPr>
                <w:rFonts w:ascii="arial" w:hAnsi="arial"/>
                <w:b/>
                <w:color w:val="1F295C"/>
                <w:spacing w:val="0"/>
                <w:sz w:val="18"/>
              </w:rPr>
              <w:t>($)</w:t>
            </w:r>
          </w:p>
          <w:p>
            <w:pPr>
              <w:pStyle w:val="TableContents"/>
              <w:bidi w:val="0"/>
              <w:spacing w:before="0" w:after="20"/>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040" w:type="dxa"/>
            <w:gridSpan w:val="2"/>
            <w:tcBorders>
              <w:bottom w:val="single" w:sz="12" w:space="0" w:color="1070B8"/>
            </w:tcBorders>
            <w:tcMar>
              <w:bottom w:w="40" w:type="dxa"/>
            </w:tcMar>
            <w:vAlign w:val="center"/>
          </w:tcPr>
          <w:p>
            <w:pPr>
              <w:pStyle w:val="TableContents"/>
              <w:bidi w:val="0"/>
              <w:spacing w:before="0" w:after="0"/>
              <w:jc w:val="center"/>
              <w:rPr>
                <w:rFonts w:ascii="arial" w:hAnsi="arial"/>
                <w:b/>
                <w:color w:val="1F295C"/>
                <w:spacing w:val="0"/>
                <w:sz w:val="18"/>
              </w:rPr>
            </w:pPr>
            <w:r>
              <w:rPr>
                <w:rFonts w:ascii="arial" w:hAnsi="arial"/>
                <w:b/>
                <w:color w:val="1F295C"/>
                <w:spacing w:val="0"/>
                <w:sz w:val="18"/>
              </w:rPr>
              <w:t>2021</w:t>
            </w:r>
          </w:p>
          <w:p>
            <w:pPr>
              <w:pStyle w:val="TableContents"/>
              <w:bidi w:val="0"/>
              <w:spacing w:before="0" w:after="0"/>
              <w:jc w:val="center"/>
              <w:rPr>
                <w:rFonts w:ascii="arial" w:hAnsi="arial"/>
                <w:b/>
                <w:color w:val="1F295C"/>
                <w:spacing w:val="0"/>
                <w:sz w:val="18"/>
              </w:rPr>
            </w:pPr>
            <w:r>
              <w:rPr>
                <w:rFonts w:ascii="arial" w:hAnsi="arial"/>
                <w:b/>
                <w:color w:val="1F295C"/>
                <w:spacing w:val="0"/>
                <w:sz w:val="18"/>
              </w:rPr>
              <w:t>($)</w:t>
            </w:r>
          </w:p>
          <w:p>
            <w:pPr>
              <w:pStyle w:val="TableContents"/>
              <w:bidi w:val="0"/>
              <w:spacing w:before="0" w:after="20"/>
              <w:jc w:val="left"/>
              <w:rPr/>
            </w:pPr>
            <w:r>
              <w:rPr/>
              <w:t> </w:t>
            </w:r>
          </w:p>
        </w:tc>
        <w:tc>
          <w:tcPr>
            <w:tcW w:w="60" w:type="dxa"/>
            <w:tcBorders>
              <w:bottom w:val="single" w:sz="12" w:space="0" w:color="1070B8"/>
            </w:tcBorders>
            <w:tcMar>
              <w:bottom w:w="28"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1071" w:type="dxa"/>
            <w:gridSpan w:val="2"/>
            <w:tcBorders>
              <w:bottom w:val="single" w:sz="12" w:space="0" w:color="1070B8"/>
            </w:tcBorders>
            <w:tcMar>
              <w:bottom w:w="40" w:type="dxa"/>
            </w:tcMar>
            <w:vAlign w:val="center"/>
          </w:tcPr>
          <w:p>
            <w:pPr>
              <w:pStyle w:val="TableContents"/>
              <w:bidi w:val="0"/>
              <w:spacing w:before="0" w:after="0"/>
              <w:jc w:val="center"/>
              <w:rPr>
                <w:rFonts w:ascii="arial" w:hAnsi="arial"/>
                <w:b/>
                <w:color w:val="1F295C"/>
                <w:spacing w:val="0"/>
                <w:sz w:val="18"/>
              </w:rPr>
            </w:pPr>
            <w:r>
              <w:rPr>
                <w:rFonts w:ascii="arial" w:hAnsi="arial"/>
                <w:b/>
                <w:color w:val="1F295C"/>
                <w:spacing w:val="0"/>
                <w:sz w:val="18"/>
              </w:rPr>
              <w:t>2020</w:t>
            </w:r>
          </w:p>
          <w:p>
            <w:pPr>
              <w:pStyle w:val="TableContents"/>
              <w:bidi w:val="0"/>
              <w:spacing w:before="0" w:after="0"/>
              <w:jc w:val="center"/>
              <w:rPr>
                <w:rFonts w:ascii="arial" w:hAnsi="arial"/>
                <w:b/>
                <w:color w:val="1F295C"/>
                <w:spacing w:val="0"/>
                <w:sz w:val="18"/>
              </w:rPr>
            </w:pPr>
            <w:r>
              <w:rPr>
                <w:rFonts w:ascii="arial" w:hAnsi="arial"/>
                <w:b/>
                <w:color w:val="1F295C"/>
                <w:spacing w:val="0"/>
                <w:sz w:val="18"/>
              </w:rPr>
              <w:t>($)</w:t>
            </w:r>
          </w:p>
          <w:p>
            <w:pPr>
              <w:pStyle w:val="TableContents"/>
              <w:bidi w:val="0"/>
              <w:spacing w:before="0" w:after="20"/>
              <w:jc w:val="left"/>
              <w:rPr/>
            </w:pPr>
            <w:r>
              <w:rPr/>
              <w:t> </w:t>
            </w:r>
          </w:p>
        </w:tc>
        <w:tc>
          <w:tcPr>
            <w:tcW w:w="76" w:type="dxa"/>
            <w:tcBorders>
              <w:bottom w:val="single" w:sz="12" w:space="0" w:color="1070B8"/>
            </w:tcBorders>
            <w:tcMar>
              <w:bottom w:w="28" w:type="dxa"/>
            </w:tcMar>
            <w:vAlign w:val="center"/>
          </w:tcPr>
          <w:p>
            <w:pPr>
              <w:pStyle w:val="TableContents"/>
              <w:bidi w:val="0"/>
              <w:spacing w:before="0" w:after="283"/>
              <w:jc w:val="left"/>
              <w:rPr/>
            </w:pPr>
            <w:r>
              <w:rPr/>
              <w:t> </w:t>
            </w:r>
          </w:p>
        </w:tc>
      </w:tr>
      <w:tr>
        <w:trPr/>
        <w:tc>
          <w:tcPr>
            <w:tcW w:w="4058"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6" w:space="0" w:color="000000"/>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Average Summary Compensation Table (SCT) Total Compensation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1,581,623</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1,593,537</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1,399,047</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1,213,319</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011" w:type="dxa"/>
            <w:tcBorders>
              <w:bottom w:val="single" w:sz="6" w:space="0" w:color="000000"/>
            </w:tcBorders>
            <w:tcMar>
              <w:bottom w:w="40" w:type="dxa"/>
            </w:tcMar>
            <w:vAlign w:val="center"/>
          </w:tcPr>
          <w:p>
            <w:pPr>
              <w:pStyle w:val="TableContents"/>
              <w:bidi w:val="0"/>
              <w:spacing w:before="0" w:after="283"/>
              <w:jc w:val="right"/>
              <w:rPr/>
            </w:pPr>
            <w:r>
              <w:rPr/>
              <w:t>1,149,186 </w:t>
            </w:r>
          </w:p>
        </w:tc>
        <w:tc>
          <w:tcPr>
            <w:tcW w:w="76"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4058"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6" w:space="0" w:color="000000"/>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Aggregate change in actuarial present value of pension benefits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011" w:type="dxa"/>
            <w:tcBorders>
              <w:bottom w:val="single" w:sz="6" w:space="0" w:color="000000"/>
            </w:tcBorders>
            <w:tcMar>
              <w:bottom w:w="40" w:type="dxa"/>
            </w:tcMar>
            <w:vAlign w:val="center"/>
          </w:tcPr>
          <w:p>
            <w:pPr>
              <w:pStyle w:val="TableContents"/>
              <w:bidi w:val="0"/>
              <w:spacing w:before="0" w:after="283"/>
              <w:jc w:val="right"/>
              <w:rPr/>
            </w:pPr>
            <w:r>
              <w:rPr/>
              <w:t>- </w:t>
            </w:r>
          </w:p>
        </w:tc>
        <w:tc>
          <w:tcPr>
            <w:tcW w:w="76"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4058"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6" w:space="0" w:color="000000"/>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Service cost of pension benefits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011" w:type="dxa"/>
            <w:tcBorders>
              <w:bottom w:val="single" w:sz="6" w:space="0" w:color="000000"/>
            </w:tcBorders>
            <w:tcMar>
              <w:bottom w:w="40" w:type="dxa"/>
            </w:tcMar>
            <w:vAlign w:val="center"/>
          </w:tcPr>
          <w:p>
            <w:pPr>
              <w:pStyle w:val="TableContents"/>
              <w:bidi w:val="0"/>
              <w:spacing w:before="0" w:after="283"/>
              <w:jc w:val="right"/>
              <w:rPr/>
            </w:pPr>
            <w:r>
              <w:rPr/>
              <w:t>- </w:t>
            </w:r>
          </w:p>
        </w:tc>
        <w:tc>
          <w:tcPr>
            <w:tcW w:w="76"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4058"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6" w:space="0" w:color="000000"/>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Prior service cost of pension benefits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011" w:type="dxa"/>
            <w:tcBorders>
              <w:bottom w:val="single" w:sz="6" w:space="0" w:color="000000"/>
            </w:tcBorders>
            <w:tcMar>
              <w:bottom w:w="40" w:type="dxa"/>
            </w:tcMar>
            <w:vAlign w:val="center"/>
          </w:tcPr>
          <w:p>
            <w:pPr>
              <w:pStyle w:val="TableContents"/>
              <w:bidi w:val="0"/>
              <w:spacing w:before="0" w:after="283"/>
              <w:jc w:val="right"/>
              <w:rPr/>
            </w:pPr>
            <w:r>
              <w:rPr/>
              <w:t>- </w:t>
            </w:r>
          </w:p>
        </w:tc>
        <w:tc>
          <w:tcPr>
            <w:tcW w:w="76"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4058"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6" w:space="0" w:color="000000"/>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SCT stock award values reported in the SCT for the covered year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756,182</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804,755</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688,190</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556,266</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011" w:type="dxa"/>
            <w:tcBorders>
              <w:bottom w:val="single" w:sz="6" w:space="0" w:color="000000"/>
            </w:tcBorders>
            <w:tcMar>
              <w:bottom w:w="40" w:type="dxa"/>
            </w:tcMar>
            <w:vAlign w:val="center"/>
          </w:tcPr>
          <w:p>
            <w:pPr>
              <w:pStyle w:val="TableContents"/>
              <w:bidi w:val="0"/>
              <w:spacing w:before="0" w:after="283"/>
              <w:jc w:val="right"/>
              <w:rPr/>
            </w:pPr>
            <w:r>
              <w:rPr/>
              <w:t>522,471 </w:t>
            </w:r>
          </w:p>
        </w:tc>
        <w:tc>
          <w:tcPr>
            <w:tcW w:w="76"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4058"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6" w:space="0" w:color="1F295C"/>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SCT option award values reported in the SCT for the covered year</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011" w:type="dxa"/>
            <w:tcBorders>
              <w:bottom w:val="single" w:sz="6" w:space="0" w:color="1F295C"/>
            </w:tcBorders>
            <w:tcMar>
              <w:bottom w:w="40" w:type="dxa"/>
            </w:tcMar>
            <w:vAlign w:val="center"/>
          </w:tcPr>
          <w:p>
            <w:pPr>
              <w:pStyle w:val="TableContents"/>
              <w:bidi w:val="0"/>
              <w:spacing w:before="0" w:after="283"/>
              <w:jc w:val="right"/>
              <w:rPr/>
            </w:pPr>
            <w:r>
              <w:rPr/>
              <w:t>- </w:t>
            </w:r>
          </w:p>
        </w:tc>
        <w:tc>
          <w:tcPr>
            <w:tcW w:w="76" w:type="dxa"/>
            <w:tcBorders>
              <w:bottom w:val="single" w:sz="6" w:space="0" w:color="1F295C"/>
            </w:tcBorders>
            <w:tcMar>
              <w:bottom w:w="40" w:type="dxa"/>
            </w:tcMar>
            <w:vAlign w:val="center"/>
          </w:tcPr>
          <w:p>
            <w:pPr>
              <w:pStyle w:val="TableContents"/>
              <w:bidi w:val="0"/>
              <w:spacing w:before="0" w:after="283"/>
              <w:jc w:val="left"/>
              <w:rPr/>
            </w:pPr>
            <w:r>
              <w:rPr/>
              <w:t> </w:t>
            </w:r>
          </w:p>
        </w:tc>
      </w:tr>
      <w:tr>
        <w:trPr/>
        <w:tc>
          <w:tcPr>
            <w:tcW w:w="4058"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6" w:space="0" w:color="1F295C"/>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Year end fair value for equity awards granted in the covered year that were outstanding and unvested at year end</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617,450</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627,041</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547,498</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630,242</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011" w:type="dxa"/>
            <w:tcBorders>
              <w:bottom w:val="single" w:sz="6" w:space="0" w:color="1F295C"/>
            </w:tcBorders>
            <w:tcMar>
              <w:bottom w:w="40" w:type="dxa"/>
            </w:tcMar>
            <w:vAlign w:val="center"/>
          </w:tcPr>
          <w:p>
            <w:pPr>
              <w:pStyle w:val="TableContents"/>
              <w:bidi w:val="0"/>
              <w:spacing w:before="0" w:after="283"/>
              <w:jc w:val="right"/>
              <w:rPr/>
            </w:pPr>
            <w:r>
              <w:rPr/>
              <w:t>1,308,093 </w:t>
            </w:r>
          </w:p>
        </w:tc>
        <w:tc>
          <w:tcPr>
            <w:tcW w:w="76" w:type="dxa"/>
            <w:tcBorders>
              <w:bottom w:val="single" w:sz="6" w:space="0" w:color="1F295C"/>
            </w:tcBorders>
            <w:tcMar>
              <w:bottom w:w="40" w:type="dxa"/>
            </w:tcMar>
            <w:vAlign w:val="center"/>
          </w:tcPr>
          <w:p>
            <w:pPr>
              <w:pStyle w:val="TableContents"/>
              <w:bidi w:val="0"/>
              <w:spacing w:before="0" w:after="283"/>
              <w:jc w:val="left"/>
              <w:rPr/>
            </w:pPr>
            <w:r>
              <w:rPr/>
              <w:t> </w:t>
            </w:r>
          </w:p>
        </w:tc>
      </w:tr>
      <w:tr>
        <w:trPr/>
        <w:tc>
          <w:tcPr>
            <w:tcW w:w="4058"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6" w:space="0" w:color="1F295C"/>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Year-over-year change in fair value of equity awards granted in prior years that are outstanding and unvested as of the covered years</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(58,567)</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999,592</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(755,678)</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658,604</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011" w:type="dxa"/>
            <w:tcBorders>
              <w:bottom w:val="single" w:sz="6" w:space="0" w:color="1F295C"/>
            </w:tcBorders>
            <w:tcMar>
              <w:bottom w:w="40" w:type="dxa"/>
            </w:tcMar>
            <w:vAlign w:val="center"/>
          </w:tcPr>
          <w:p>
            <w:pPr>
              <w:pStyle w:val="TableContents"/>
              <w:bidi w:val="0"/>
              <w:spacing w:before="0" w:after="283"/>
              <w:jc w:val="right"/>
              <w:rPr/>
            </w:pPr>
            <w:r>
              <w:rPr/>
              <w:t>393,249 </w:t>
            </w:r>
          </w:p>
        </w:tc>
        <w:tc>
          <w:tcPr>
            <w:tcW w:w="76" w:type="dxa"/>
            <w:tcBorders>
              <w:bottom w:val="single" w:sz="6" w:space="0" w:color="1F295C"/>
            </w:tcBorders>
            <w:tcMar>
              <w:bottom w:w="40" w:type="dxa"/>
            </w:tcMar>
            <w:vAlign w:val="center"/>
          </w:tcPr>
          <w:p>
            <w:pPr>
              <w:pStyle w:val="TableContents"/>
              <w:bidi w:val="0"/>
              <w:spacing w:before="0" w:after="283"/>
              <w:jc w:val="left"/>
              <w:rPr/>
            </w:pPr>
            <w:r>
              <w:rPr/>
              <w:t> </w:t>
            </w:r>
          </w:p>
        </w:tc>
      </w:tr>
      <w:tr>
        <w:trPr/>
        <w:tc>
          <w:tcPr>
            <w:tcW w:w="4058"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6" w:space="0" w:color="1F295C"/>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Year-over-year change in fair value of equity awards granted in prior years that vested in the covered year</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123,755</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424,055</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(437,789)</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191,413</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011" w:type="dxa"/>
            <w:tcBorders>
              <w:bottom w:val="single" w:sz="6" w:space="0" w:color="1F295C"/>
            </w:tcBorders>
            <w:tcMar>
              <w:bottom w:w="40" w:type="dxa"/>
            </w:tcMar>
            <w:vAlign w:val="center"/>
          </w:tcPr>
          <w:p>
            <w:pPr>
              <w:pStyle w:val="TableContents"/>
              <w:bidi w:val="0"/>
              <w:spacing w:before="0" w:after="283"/>
              <w:jc w:val="right"/>
              <w:rPr/>
            </w:pPr>
            <w:r>
              <w:rPr/>
              <w:t>(238,121) </w:t>
            </w:r>
          </w:p>
        </w:tc>
        <w:tc>
          <w:tcPr>
            <w:tcW w:w="76" w:type="dxa"/>
            <w:tcBorders>
              <w:bottom w:val="single" w:sz="6" w:space="0" w:color="1F295C"/>
            </w:tcBorders>
            <w:tcMar>
              <w:bottom w:w="40" w:type="dxa"/>
            </w:tcMar>
            <w:vAlign w:val="center"/>
          </w:tcPr>
          <w:p>
            <w:pPr>
              <w:pStyle w:val="TableContents"/>
              <w:bidi w:val="0"/>
              <w:spacing w:before="0" w:after="283"/>
              <w:jc w:val="left"/>
              <w:rPr/>
            </w:pPr>
            <w:r>
              <w:rPr/>
              <w:t> </w:t>
            </w:r>
          </w:p>
        </w:tc>
      </w:tr>
      <w:tr>
        <w:trPr/>
        <w:tc>
          <w:tcPr>
            <w:tcW w:w="4058"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6" w:space="0" w:color="1F295C"/>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Fair value as of prior-year end of equity awards granted in prior years that failed to vest in the covered year</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011" w:type="dxa"/>
            <w:tcBorders>
              <w:bottom w:val="single" w:sz="6" w:space="0" w:color="1F295C"/>
            </w:tcBorders>
            <w:tcMar>
              <w:bottom w:w="40" w:type="dxa"/>
            </w:tcMar>
            <w:vAlign w:val="center"/>
          </w:tcPr>
          <w:p>
            <w:pPr>
              <w:pStyle w:val="TableContents"/>
              <w:bidi w:val="0"/>
              <w:spacing w:before="0" w:after="283"/>
              <w:jc w:val="right"/>
              <w:rPr/>
            </w:pPr>
            <w:r>
              <w:rPr/>
              <w:t>- </w:t>
            </w:r>
          </w:p>
        </w:tc>
        <w:tc>
          <w:tcPr>
            <w:tcW w:w="76" w:type="dxa"/>
            <w:tcBorders>
              <w:bottom w:val="single" w:sz="6" w:space="0" w:color="1F295C"/>
            </w:tcBorders>
            <w:tcMar>
              <w:bottom w:w="40" w:type="dxa"/>
            </w:tcMar>
            <w:vAlign w:val="center"/>
          </w:tcPr>
          <w:p>
            <w:pPr>
              <w:pStyle w:val="TableContents"/>
              <w:bidi w:val="0"/>
              <w:spacing w:before="0" w:after="283"/>
              <w:jc w:val="left"/>
              <w:rPr/>
            </w:pPr>
            <w:r>
              <w:rPr/>
              <w:t> </w:t>
            </w:r>
          </w:p>
        </w:tc>
      </w:tr>
      <w:tr>
        <w:trPr/>
        <w:tc>
          <w:tcPr>
            <w:tcW w:w="4058"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6" w:space="0" w:color="1F295C"/>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Dollar value of dividends/earnings paid on equity awards in the covered year</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15,616</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51,032</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19,261</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2,190</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011" w:type="dxa"/>
            <w:tcBorders>
              <w:bottom w:val="single" w:sz="6" w:space="0" w:color="1F295C"/>
            </w:tcBorders>
            <w:tcMar>
              <w:bottom w:w="40" w:type="dxa"/>
            </w:tcMar>
            <w:vAlign w:val="center"/>
          </w:tcPr>
          <w:p>
            <w:pPr>
              <w:pStyle w:val="TableContents"/>
              <w:bidi w:val="0"/>
              <w:spacing w:before="0" w:after="283"/>
              <w:jc w:val="right"/>
              <w:rPr/>
            </w:pPr>
            <w:r>
              <w:rPr/>
              <w:t>- </w:t>
            </w:r>
          </w:p>
        </w:tc>
        <w:tc>
          <w:tcPr>
            <w:tcW w:w="76" w:type="dxa"/>
            <w:tcBorders>
              <w:bottom w:val="single" w:sz="6" w:space="0" w:color="1F295C"/>
            </w:tcBorders>
            <w:tcMar>
              <w:bottom w:w="40" w:type="dxa"/>
            </w:tcMar>
            <w:vAlign w:val="center"/>
          </w:tcPr>
          <w:p>
            <w:pPr>
              <w:pStyle w:val="TableContents"/>
              <w:bidi w:val="0"/>
              <w:spacing w:before="0" w:after="283"/>
              <w:jc w:val="left"/>
              <w:rPr/>
            </w:pPr>
            <w:r>
              <w:rPr/>
              <w:t> </w:t>
            </w:r>
          </w:p>
        </w:tc>
      </w:tr>
      <w:tr>
        <w:trPr/>
        <w:tc>
          <w:tcPr>
            <w:tcW w:w="4058"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6" w:space="0" w:color="1F295C"/>
            </w:tcBorders>
            <w:shd w:fill="D5DBE3" w:val="clear"/>
            <w:tcMar>
              <w:bottom w:w="40" w:type="dxa"/>
            </w:tcMar>
            <w:vAlign w:val="center"/>
          </w:tcPr>
          <w:p>
            <w:pPr>
              <w:pStyle w:val="TableContents"/>
              <w:bidi w:val="0"/>
              <w:spacing w:before="0" w:after="0"/>
              <w:jc w:val="left"/>
              <w:rPr>
                <w:rFonts w:ascii="arial" w:hAnsi="arial"/>
                <w:sz w:val="18"/>
              </w:rPr>
            </w:pPr>
            <w:r>
              <w:rPr>
                <w:rFonts w:ascii="arial" w:hAnsi="arial"/>
                <w:sz w:val="18"/>
              </w:rPr>
              <w:t>+ Excess fair value for equity award modifications</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980" w:type="dxa"/>
            <w:tcBorders>
              <w:bottom w:val="single" w:sz="6" w:space="0" w:color="1F295C"/>
            </w:tcBorders>
            <w:tcMar>
              <w:bottom w:w="40" w:type="dxa"/>
            </w:tcMar>
            <w:vAlign w:val="center"/>
          </w:tcPr>
          <w:p>
            <w:pPr>
              <w:pStyle w:val="TableContents"/>
              <w:bidi w:val="0"/>
              <w:spacing w:before="0" w:after="283"/>
              <w:jc w:val="right"/>
              <w:rPr/>
            </w:pPr>
            <w:r>
              <w:rPr/>
              <w:t>-</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60" w:type="dxa"/>
            <w:tcBorders>
              <w:bottom w:val="single" w:sz="6" w:space="0" w:color="1F295C"/>
            </w:tcBorders>
            <w:tcMar>
              <w:bottom w:w="40" w:type="dxa"/>
            </w:tcMar>
            <w:vAlign w:val="center"/>
          </w:tcPr>
          <w:p>
            <w:pPr>
              <w:pStyle w:val="TableContents"/>
              <w:bidi w:val="0"/>
              <w:spacing w:before="0" w:after="283"/>
              <w:jc w:val="left"/>
              <w:rPr/>
            </w:pPr>
            <w:r>
              <w:rPr/>
              <w:t> </w:t>
            </w:r>
          </w:p>
        </w:tc>
        <w:tc>
          <w:tcPr>
            <w:tcW w:w="1011" w:type="dxa"/>
            <w:tcBorders>
              <w:bottom w:val="single" w:sz="6" w:space="0" w:color="1F295C"/>
            </w:tcBorders>
            <w:tcMar>
              <w:bottom w:w="40" w:type="dxa"/>
            </w:tcMar>
            <w:vAlign w:val="center"/>
          </w:tcPr>
          <w:p>
            <w:pPr>
              <w:pStyle w:val="TableContents"/>
              <w:bidi w:val="0"/>
              <w:spacing w:before="0" w:after="283"/>
              <w:jc w:val="right"/>
              <w:rPr/>
            </w:pPr>
            <w:r>
              <w:rPr/>
              <w:t>- </w:t>
            </w:r>
          </w:p>
        </w:tc>
        <w:tc>
          <w:tcPr>
            <w:tcW w:w="76" w:type="dxa"/>
            <w:tcBorders>
              <w:bottom w:val="single" w:sz="6" w:space="0" w:color="1F295C"/>
            </w:tcBorders>
            <w:tcMar>
              <w:bottom w:w="40" w:type="dxa"/>
            </w:tcMar>
            <w:vAlign w:val="center"/>
          </w:tcPr>
          <w:p>
            <w:pPr>
              <w:pStyle w:val="TableContents"/>
              <w:bidi w:val="0"/>
              <w:spacing w:before="0" w:after="283"/>
              <w:jc w:val="left"/>
              <w:rPr/>
            </w:pPr>
            <w:r>
              <w:rPr/>
              <w:t> </w:t>
            </w:r>
          </w:p>
        </w:tc>
      </w:tr>
      <w:tr>
        <w:trPr/>
        <w:tc>
          <w:tcPr>
            <w:tcW w:w="4058" w:type="dxa"/>
            <w:tcBorders/>
            <w:shd w:fill="D5DBE3"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12" w:space="0" w:color="1070B8"/>
            </w:tcBorders>
            <w:shd w:fill="D5DBE3" w:val="clear"/>
            <w:tcMar>
              <w:bottom w:w="60" w:type="dxa"/>
            </w:tcMar>
            <w:vAlign w:val="center"/>
          </w:tcPr>
          <w:p>
            <w:pPr>
              <w:pStyle w:val="TableContents"/>
              <w:bidi w:val="0"/>
              <w:spacing w:before="0" w:after="0"/>
              <w:jc w:val="left"/>
              <w:rPr>
                <w:rFonts w:ascii="arial" w:hAnsi="arial"/>
                <w:sz w:val="18"/>
              </w:rPr>
            </w:pPr>
            <w:r>
              <w:rPr>
                <w:rFonts w:ascii="arial" w:hAnsi="arial"/>
                <w:sz w:val="18"/>
              </w:rPr>
              <w:t>Average Compensation Actually Paid to non-PEO NEOs</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980" w:type="dxa"/>
            <w:tcBorders>
              <w:bottom w:val="single" w:sz="12" w:space="0" w:color="1070B8"/>
            </w:tcBorders>
            <w:tcMar>
              <w:bottom w:w="60" w:type="dxa"/>
            </w:tcMar>
            <w:vAlign w:val="center"/>
          </w:tcPr>
          <w:p>
            <w:pPr>
              <w:pStyle w:val="TableContents"/>
              <w:bidi w:val="0"/>
              <w:spacing w:before="0" w:after="283"/>
              <w:jc w:val="right"/>
              <w:rPr/>
            </w:pPr>
            <w:r>
              <w:rPr/>
              <w:t>1,523,695</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980" w:type="dxa"/>
            <w:tcBorders>
              <w:bottom w:val="single" w:sz="12" w:space="0" w:color="1070B8"/>
            </w:tcBorders>
            <w:tcMar>
              <w:bottom w:w="60" w:type="dxa"/>
            </w:tcMar>
            <w:vAlign w:val="center"/>
          </w:tcPr>
          <w:p>
            <w:pPr>
              <w:pStyle w:val="TableContents"/>
              <w:bidi w:val="0"/>
              <w:spacing w:before="0" w:after="283"/>
              <w:jc w:val="right"/>
              <w:rPr/>
            </w:pPr>
            <w:r>
              <w:rPr/>
              <w:t>2,890,501</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980" w:type="dxa"/>
            <w:tcBorders>
              <w:bottom w:val="single" w:sz="12" w:space="0" w:color="1070B8"/>
            </w:tcBorders>
            <w:tcMar>
              <w:bottom w:w="60" w:type="dxa"/>
            </w:tcMar>
            <w:vAlign w:val="center"/>
          </w:tcPr>
          <w:p>
            <w:pPr>
              <w:pStyle w:val="TableContents"/>
              <w:bidi w:val="0"/>
              <w:spacing w:before="0" w:after="283"/>
              <w:jc w:val="right"/>
              <w:rPr/>
            </w:pPr>
            <w:r>
              <w:rPr/>
              <w:t>84,150</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980" w:type="dxa"/>
            <w:tcBorders>
              <w:bottom w:val="single" w:sz="12" w:space="0" w:color="1070B8"/>
            </w:tcBorders>
            <w:tcMar>
              <w:bottom w:w="60" w:type="dxa"/>
            </w:tcMar>
            <w:vAlign w:val="center"/>
          </w:tcPr>
          <w:p>
            <w:pPr>
              <w:pStyle w:val="TableContents"/>
              <w:bidi w:val="0"/>
              <w:spacing w:before="0" w:after="283"/>
              <w:jc w:val="right"/>
              <w:rPr/>
            </w:pPr>
            <w:r>
              <w:rPr/>
              <w:t>2,139,501</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120" w:type="dxa"/>
            <w:tcBorders>
              <w:bottom w:val="single" w:sz="12" w:space="0" w:color="1070B8"/>
            </w:tcBorders>
            <w:tcMar>
              <w:bottom w:w="28" w:type="dxa"/>
            </w:tcMar>
            <w:vAlign w:val="center"/>
          </w:tcPr>
          <w:p>
            <w:pPr>
              <w:pStyle w:val="TableContents"/>
              <w:bidi w:val="0"/>
              <w:spacing w:before="0" w:after="283"/>
              <w:jc w:val="left"/>
              <w:rPr/>
            </w:pPr>
            <w:r>
              <w:rPr/>
              <w:t>  </w:t>
            </w:r>
          </w:p>
        </w:tc>
        <w:tc>
          <w:tcPr>
            <w:tcW w:w="60" w:type="dxa"/>
            <w:tcBorders>
              <w:bottom w:val="single" w:sz="12" w:space="0" w:color="1070B8"/>
            </w:tcBorders>
            <w:tcMar>
              <w:bottom w:w="60" w:type="dxa"/>
            </w:tcMar>
            <w:vAlign w:val="center"/>
          </w:tcPr>
          <w:p>
            <w:pPr>
              <w:pStyle w:val="TableContents"/>
              <w:bidi w:val="0"/>
              <w:spacing w:before="0" w:after="283"/>
              <w:jc w:val="left"/>
              <w:rPr/>
            </w:pPr>
            <w:r>
              <w:rPr/>
              <w:t> </w:t>
            </w:r>
          </w:p>
        </w:tc>
        <w:tc>
          <w:tcPr>
            <w:tcW w:w="1011" w:type="dxa"/>
            <w:tcBorders>
              <w:bottom w:val="single" w:sz="12" w:space="0" w:color="1070B8"/>
            </w:tcBorders>
            <w:tcMar>
              <w:bottom w:w="60" w:type="dxa"/>
            </w:tcMar>
            <w:vAlign w:val="center"/>
          </w:tcPr>
          <w:p>
            <w:pPr>
              <w:pStyle w:val="TableContents"/>
              <w:bidi w:val="0"/>
              <w:spacing w:before="0" w:after="283"/>
              <w:jc w:val="right"/>
              <w:rPr/>
            </w:pPr>
            <w:r>
              <w:rPr/>
              <w:t>2,089,937 </w:t>
            </w:r>
          </w:p>
        </w:tc>
        <w:tc>
          <w:tcPr>
            <w:tcW w:w="76" w:type="dxa"/>
            <w:tcBorders>
              <w:bottom w:val="single" w:sz="12" w:space="0" w:color="1070B8"/>
            </w:tcBorders>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(5)</w:t>
            </w:r>
          </w:p>
        </w:tc>
        <w:tc>
          <w:tcPr>
            <w:tcW w:w="9908" w:type="dxa"/>
            <w:tcBorders/>
            <w:vAlign w:val="center"/>
          </w:tcPr>
          <w:p>
            <w:pPr>
              <w:pStyle w:val="TableContents"/>
              <w:bidi w:val="0"/>
              <w:spacing w:before="0" w:after="0"/>
              <w:jc w:val="left"/>
              <w:rPr>
                <w:rFonts w:ascii="arial" w:hAnsi="arial"/>
                <w:sz w:val="20"/>
              </w:rPr>
            </w:pPr>
            <w:r>
              <w:rPr>
                <w:rFonts w:ascii="arial" w:hAnsi="arial"/>
                <w:sz w:val="20"/>
              </w:rPr>
              <w:t xml:space="preserve">For each of the five fiscal years presented in the table, total shareholder return was calculated in accordance with Item 402(v) of Regulation S-K under the Exchange Act. For purposes of this pay versus performance disclosure, the peer group used was the S&amp;P 600 Building Products Sub Industry GICS Level 4 Index, which we also utilize in the stock performance graph required by Item 201(e) of Regulation S-K included in our Annual Report for the year ended December 31, 2024. The comparison assumes $100 was invested for the period starting December 31, 2019, through the end of the listed year in the Company and in the S&amp;P 600 Building Products Sub Industry GICS Level 4 Index, respectively. In 2022, our peer group consisted of two published industry indices: the Russell 2000 and the S&amp;P 600 Building Products Sub Industry GICS Level 4 Index. TSR performance for these indexes, for the years ending December 31, 2020, 2021, 2022, 2023 and 2024, would have been: $120, $138, $110, $129 and $225, respectively.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290"/>
        <w:gridCol w:w="49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(6)</w:t>
            </w:r>
          </w:p>
        </w:tc>
        <w:tc>
          <w:tcPr>
            <w:tcW w:w="4970" w:type="dxa"/>
            <w:tcBorders/>
            <w:vAlign w:val="center"/>
          </w:tcPr>
          <w:p>
            <w:pPr>
              <w:pStyle w:val="TableContents"/>
              <w:bidi w:val="0"/>
              <w:spacing w:before="0" w:after="0"/>
              <w:jc w:val="left"/>
              <w:rPr>
                <w:rFonts w:ascii="arial" w:hAnsi="arial"/>
                <w:sz w:val="20"/>
              </w:rPr>
            </w:pPr>
            <w:r>
              <w:rPr>
                <w:rFonts w:ascii="arial" w:hAnsi="arial"/>
                <w:sz w:val="20"/>
              </w:rPr>
              <w:t xml:space="preserve">Net income is rounded to the nearest hundred thousand.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(7)</w:t>
            </w:r>
          </w:p>
        </w:tc>
        <w:tc>
          <w:tcPr>
            <w:tcW w:w="9871" w:type="dxa"/>
            <w:tcBorders/>
            <w:vAlign w:val="center"/>
          </w:tcPr>
          <w:p>
            <w:pPr>
              <w:pStyle w:val="TableContents"/>
              <w:bidi w:val="0"/>
              <w:spacing w:before="0" w:after="0"/>
              <w:jc w:val="left"/>
              <w:rPr>
                <w:rFonts w:ascii="arial" w:hAnsi="arial"/>
                <w:sz w:val="20"/>
              </w:rPr>
            </w:pPr>
            <w:r>
              <w:rPr>
                <w:rFonts w:ascii="arial" w:hAnsi="arial"/>
                <w:sz w:val="20"/>
              </w:rPr>
              <w:t>The CHC Committee has selected Adjusted EBITDA as the most important financial performance measure used to link our executive compensation to Company performance. See “</w:t>
            </w:r>
          </w:p>
          <w:p>
            <w:pPr>
              <w:pStyle w:val="TableContents"/>
              <w:bidi w:val="0"/>
              <w:spacing w:before="0" w:after="0"/>
              <w:jc w:val="left"/>
              <w:rPr>
                <w:rFonts w:ascii="arial" w:hAnsi="arial"/>
                <w:i/>
                <w:caps w:val="false"/>
                <w:smallCaps w:val="false"/>
                <w:spacing w:val="0"/>
                <w:sz w:val="20"/>
              </w:rPr>
            </w:pPr>
            <w:r>
              <w:rPr>
                <w:rFonts w:ascii="arial" w:hAnsi="arial"/>
                <w:i/>
                <w:caps w:val="false"/>
                <w:smallCaps w:val="false"/>
                <w:spacing w:val="0"/>
                <w:sz w:val="20"/>
              </w:rPr>
              <w:t xml:space="preserve">Additional Information – Use of </w:t>
            </w:r>
          </w:p>
          <w:p>
            <w:pPr>
              <w:pStyle w:val="TableContents"/>
              <w:bidi w:val="0"/>
              <w:spacing w:before="0" w:after="0"/>
              <w:jc w:val="left"/>
              <w:rPr>
                <w:rFonts w:ascii="arial" w:hAnsi="arial"/>
                <w:i/>
                <w:caps w:val="false"/>
                <w:smallCaps w:val="false"/>
                <w:spacing w:val="0"/>
                <w:sz w:val="20"/>
              </w:rPr>
            </w:pPr>
            <w:r>
              <w:rPr>
                <w:rFonts w:ascii="arial" w:hAnsi="arial"/>
                <w:i/>
                <w:caps w:val="false"/>
                <w:smallCaps w:val="false"/>
                <w:spacing w:val="0"/>
                <w:sz w:val="20"/>
              </w:rPr>
              <w:t>Non-GAAP</w:t>
            </w:r>
          </w:p>
          <w:p>
            <w:pPr>
              <w:pStyle w:val="TableContents"/>
              <w:bidi w:val="0"/>
              <w:spacing w:before="0" w:after="0"/>
              <w:jc w:val="left"/>
              <w:rPr>
                <w:rFonts w:ascii="arial" w:hAnsi="arial"/>
                <w:i/>
                <w:caps w:val="false"/>
                <w:smallCaps w:val="false"/>
                <w:spacing w:val="0"/>
                <w:sz w:val="20"/>
              </w:rPr>
            </w:pPr>
            <w:r>
              <w:rPr>
                <w:rFonts w:ascii="arial" w:hAnsi="arial"/>
                <w:i/>
                <w:caps w:val="false"/>
                <w:smallCaps w:val="false"/>
                <w:spacing w:val="0"/>
                <w:sz w:val="20"/>
              </w:rPr>
              <w:t>Financial Measures</w:t>
            </w:r>
          </w:p>
          <w:p>
            <w:pPr>
              <w:pStyle w:val="TableContents"/>
              <w:bidi w:val="0"/>
              <w:spacing w:before="0" w:after="0"/>
              <w:jc w:val="left"/>
              <w:rPr/>
            </w:pPr>
            <w:r>
              <w:rPr/>
              <w:t xml:space="preserve">” </w:t>
            </w:r>
            <w:r>
              <w:rPr>
                <w:rFonts w:ascii="arial" w:hAnsi="arial"/>
                <w:sz w:val="20"/>
              </w:rPr>
              <w:t xml:space="preserve">for a reconciliation of Adjusted EBITDA to the most directly comparable GAAP measure. Adjusted EBITDA is rounded to the nearest hundred thousand.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1070B8"/>
        </w:rPr>
      </w:pPr>
      <w:r>
        <w:rPr>
          <w:bdr w:val="single" w:sz="2" w:space="1" w:color="1070B8"/>
        </w:rPr>
        <w:t> </w:t>
      </w:r>
    </w:p>
    <w:p>
      <w:pPr>
        <w:pStyle w:val="TextBody"/>
        <w:bidi w:val="0"/>
        <w:spacing w:before="0" w:after="0"/>
        <w:jc w:val="center"/>
        <w:rPr>
          <w:rFonts w:ascii="arial" w:hAnsi="arial"/>
          <w:b/>
          <w:color w:val="1070B8"/>
          <w:spacing w:val="0"/>
          <w:sz w:val="20"/>
        </w:rPr>
      </w:pPr>
      <w:r>
        <w:rPr>
          <w:rFonts w:ascii="arial" w:hAnsi="arial"/>
          <w:b/>
          <w:color w:val="1070B8"/>
          <w:spacing w:val="0"/>
          <w:sz w:val="20"/>
        </w:rPr>
        <w:t xml:space="preserve">IBP 2025 Proxy Statement </w:t>
      </w:r>
    </w:p>
    <w:p>
      <w:pPr>
        <w:pStyle w:val="TextBody"/>
        <w:bidi w:val="0"/>
        <w:spacing w:before="80" w:after="0"/>
        <w:jc w:val="center"/>
        <w:rPr>
          <w:rFonts w:ascii="arial" w:hAnsi="arial"/>
          <w:color w:val="1070B8"/>
          <w:spacing w:val="0"/>
          <w:sz w:val="20"/>
        </w:rPr>
      </w:pPr>
      <w:r>
        <w:rPr>
          <w:rFonts w:ascii="arial" w:hAnsi="arial"/>
          <w:color w:val="1070B8"/>
          <w:spacing w:val="0"/>
          <w:sz w:val="20"/>
        </w:rPr>
        <w:t xml:space="preserve">Executive Compensation </w:t>
      </w:r>
    </w:p>
    <w:p>
      <w:pPr>
        <w:pStyle w:val="TextBody"/>
        <w:bidi w:val="0"/>
        <w:spacing w:before="0" w:after="0"/>
        <w:jc w:val="left"/>
        <w:rPr/>
      </w:pPr>
      <w:r>
        <w:rPr/>
        <w:t> </w:t>
      </w:r>
    </w:p>
    <w:p>
      <w:pPr>
        <w:pStyle w:val="TextBody"/>
        <w:bidi w:val="0"/>
        <w:spacing w:before="0" w:after="0"/>
        <w:jc w:val="center"/>
        <w:rPr>
          <w:rFonts w:ascii="arial" w:hAnsi="arial"/>
          <w:color w:val="1070B8"/>
          <w:spacing w:val="0"/>
          <w:sz w:val="20"/>
        </w:rPr>
      </w:pPr>
      <w:r>
        <w:rPr>
          <w:rFonts w:ascii="arial" w:hAnsi="arial"/>
          <w:color w:val="1070B8"/>
          <w:spacing w:val="0"/>
          <w:sz w:val="20"/>
        </w:rPr>
        <w:t xml:space="preserve">77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following graphs describe the relationships between executive compensation actually paid as listed above in the pay versus performance table to Company Adjusted EBITDA, Company Net Income and Company and Peer Group Total Shareholder Return and the relationship between Company Total Shareholder Return to Peer Group Total Shareholder Return. </w:t>
      </w:r>
    </w:p>
    <w:p>
      <w:pPr>
        <w:pStyle w:val="TextBody"/>
        <w:bidi w:val="0"/>
        <w:spacing w:before="0" w:after="0"/>
        <w:jc w:val="left"/>
        <w:rPr/>
      </w:pPr>
      <w:r>
        <w:rPr/>
        <w:t> </w:t>
      </w:r>
    </w:p>
    <w:tbl>
      <w:tblPr>
        <w:tblW w:w="9017" w:type="dxa"/>
        <w:jc w:val="left"/>
        <w:tblInd w:w="0" w:type="dxa"/>
        <w:tblLayout w:type="fixed"/>
        <w:tblCellMar>
          <w:top w:w="0" w:type="dxa"/>
          <w:left w:w="0" w:type="dxa"/>
          <w:bottom w:w="0" w:type="dxa"/>
          <w:right w:w="0" w:type="dxa"/>
        </w:tblCellMar>
      </w:tblPr>
      <w:tblGrid>
        <w:gridCol w:w="4533"/>
        <w:gridCol w:w="120"/>
        <w:gridCol w:w="4364"/>
      </w:tblGrid>
      <w:tr>
        <w:trPr/>
        <w:tc>
          <w:tcPr>
            <w:tcW w:w="45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64" w:type="dxa"/>
            <w:tcBorders/>
            <w:vAlign w:val="center"/>
          </w:tcPr>
          <w:p>
            <w:pPr>
              <w:pStyle w:val="TableContents"/>
              <w:bidi w:val="0"/>
              <w:spacing w:before="0" w:after="283"/>
              <w:jc w:val="left"/>
              <w:rPr>
                <w:sz w:val="4"/>
                <w:szCs w:val="4"/>
              </w:rPr>
            </w:pPr>
            <w:r>
              <w:rPr>
                <w:sz w:val="4"/>
                <w:szCs w:val="4"/>
              </w:rPr>
            </w:r>
          </w:p>
        </w:tc>
      </w:tr>
      <w:tr>
        <w:trPr/>
        <w:tc>
          <w:tcPr>
            <w:tcW w:w="4533" w:type="dxa"/>
            <w:tcBorders>
              <w:bottom w:val="dashed" w:sz="6" w:space="0" w:color="1070B8"/>
              <w:right w:val="dashed" w:sz="6" w:space="0" w:color="1070B8"/>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830830" cy="2448560"/>
                  <wp:effectExtent l="0" t="0" r="0" b="0"/>
                  <wp:docPr id="8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5" descr=""/>
                          <pic:cNvPicPr>
                            <a:picLocks noChangeAspect="1" noChangeArrowheads="1"/>
                          </pic:cNvPicPr>
                        </pic:nvPicPr>
                        <pic:blipFill>
                          <a:blip r:embed="rId86"/>
                          <a:stretch>
                            <a:fillRect/>
                          </a:stretch>
                        </pic:blipFill>
                        <pic:spPr bwMode="auto">
                          <a:xfrm>
                            <a:off x="0" y="0"/>
                            <a:ext cx="2830830" cy="24485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dashed" w:sz="6" w:space="0" w:color="1070B8"/>
            </w:tcBorders>
            <w:tcMar>
              <w:bottom w:w="28" w:type="dxa"/>
            </w:tcMar>
            <w:vAlign w:val="center"/>
          </w:tcPr>
          <w:p>
            <w:pPr>
              <w:pStyle w:val="TableContents"/>
              <w:bidi w:val="0"/>
              <w:spacing w:before="0" w:after="283"/>
              <w:jc w:val="left"/>
              <w:rPr/>
            </w:pPr>
            <w:r>
              <w:rPr/>
              <w:t>  </w:t>
            </w:r>
          </w:p>
        </w:tc>
        <w:tc>
          <w:tcPr>
            <w:tcW w:w="4364" w:type="dxa"/>
            <w:tcBorders>
              <w:bottom w:val="dashed" w:sz="6" w:space="0" w:color="1070B8"/>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723515" cy="2420620"/>
                  <wp:effectExtent l="0" t="0" r="0" b="0"/>
                  <wp:docPr id="8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6" descr=""/>
                          <pic:cNvPicPr>
                            <a:picLocks noChangeAspect="1" noChangeArrowheads="1"/>
                          </pic:cNvPicPr>
                        </pic:nvPicPr>
                        <pic:blipFill>
                          <a:blip r:embed="rId87"/>
                          <a:stretch>
                            <a:fillRect/>
                          </a:stretch>
                        </pic:blipFill>
                        <pic:spPr bwMode="auto">
                          <a:xfrm>
                            <a:off x="0" y="0"/>
                            <a:ext cx="2723515" cy="242062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r>
      <w:tr>
        <w:trPr/>
        <w:tc>
          <w:tcPr>
            <w:tcW w:w="4533" w:type="dxa"/>
            <w:tcBorders>
              <w:right w:val="dashed" w:sz="6" w:space="0" w:color="1070B8"/>
            </w:tcBorders>
            <w:tcMar>
              <w:right w:w="28" w:type="dxa"/>
            </w:tcMar>
            <w:vAlign w:val="center"/>
          </w:tcPr>
          <w:p>
            <w:pPr>
              <w:pStyle w:val="TableContents"/>
              <w:bidi w:val="0"/>
              <w:spacing w:before="0" w:after="283"/>
              <w:jc w:val="left"/>
              <w:rPr/>
            </w:pPr>
            <w:r>
              <w:rPr/>
              <w:t> </w:t>
            </w:r>
          </w:p>
        </w:tc>
        <w:tc>
          <w:tcPr>
            <w:tcW w:w="4484" w:type="dxa"/>
            <w:gridSpan w:val="2"/>
            <w:tcBorders/>
            <w:vAlign w:val="center"/>
          </w:tcPr>
          <w:p>
            <w:pPr>
              <w:pStyle w:val="TableContents"/>
              <w:bidi w:val="0"/>
              <w:spacing w:before="0" w:after="283"/>
              <w:jc w:val="left"/>
              <w:rPr>
                <w:sz w:val="4"/>
                <w:szCs w:val="4"/>
              </w:rPr>
            </w:pPr>
            <w:r>
              <w:rPr>
                <w:sz w:val="4"/>
                <w:szCs w:val="4"/>
              </w:rPr>
            </w:r>
          </w:p>
        </w:tc>
      </w:tr>
      <w:tr>
        <w:trPr/>
        <w:tc>
          <w:tcPr>
            <w:tcW w:w="4533" w:type="dxa"/>
            <w:tcBorders>
              <w:right w:val="dashed" w:sz="6" w:space="0" w:color="1070B8"/>
            </w:tcBorders>
            <w:tcMar>
              <w:right w:w="28" w:type="dxa"/>
            </w:tcMar>
            <w:vAlign w:val="center"/>
          </w:tcPr>
          <w:p>
            <w:pPr>
              <w:pStyle w:val="TableContents"/>
              <w:bidi w:val="0"/>
              <w:spacing w:before="0" w:after="0"/>
              <w:jc w:val="center"/>
              <w:rPr/>
            </w:pPr>
            <w:r>
              <w:rPr/>
              <w:drawing>
                <wp:inline distT="0" distB="0" distL="0" distR="0">
                  <wp:extent cx="2827655" cy="2525395"/>
                  <wp:effectExtent l="0" t="0" r="0" b="0"/>
                  <wp:docPr id="8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7" descr=""/>
                          <pic:cNvPicPr>
                            <a:picLocks noChangeAspect="1" noChangeArrowheads="1"/>
                          </pic:cNvPicPr>
                        </pic:nvPicPr>
                        <pic:blipFill>
                          <a:blip r:embed="rId88"/>
                          <a:stretch>
                            <a:fillRect/>
                          </a:stretch>
                        </pic:blipFill>
                        <pic:spPr bwMode="auto">
                          <a:xfrm>
                            <a:off x="0" y="0"/>
                            <a:ext cx="2827655" cy="252539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4364" w:type="dxa"/>
            <w:tcBorders/>
            <w:vAlign w:val="center"/>
          </w:tcPr>
          <w:p>
            <w:pPr>
              <w:pStyle w:val="TableContents"/>
              <w:bidi w:val="0"/>
              <w:spacing w:before="0" w:after="0"/>
              <w:jc w:val="center"/>
              <w:rPr/>
            </w:pPr>
            <w:r>
              <w:rPr/>
              <w:drawing>
                <wp:inline distT="0" distB="0" distL="0" distR="0">
                  <wp:extent cx="2493645" cy="2266950"/>
                  <wp:effectExtent l="0" t="0" r="0" b="0"/>
                  <wp:docPr id="9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8" descr=""/>
                          <pic:cNvPicPr>
                            <a:picLocks noChangeAspect="1" noChangeArrowheads="1"/>
                          </pic:cNvPicPr>
                        </pic:nvPicPr>
                        <pic:blipFill>
                          <a:blip r:embed="rId89"/>
                          <a:stretch>
                            <a:fillRect/>
                          </a:stretch>
                        </pic:blipFill>
                        <pic:spPr bwMode="auto">
                          <a:xfrm>
                            <a:off x="0" y="0"/>
                            <a:ext cx="2493645" cy="2266950"/>
                          </a:xfrm>
                          <a:prstGeom prst="rect">
                            <a:avLst/>
                          </a:prstGeom>
                        </pic:spPr>
                      </pic:pic>
                    </a:graphicData>
                  </a:graphic>
                </wp:inline>
              </w:drawing>
            </w:r>
            <w:r>
              <w:rPr/>
              <w:t xml:space="preserve"> </w:t>
            </w:r>
          </w:p>
          <w:p>
            <w:pPr>
              <w:pStyle w:val="TableContents"/>
              <w:bidi w:val="0"/>
              <w:spacing w:before="0" w:after="20"/>
              <w:jc w:val="left"/>
              <w:rPr/>
            </w:pPr>
            <w:r>
              <w:rPr/>
              <w:t> </w:t>
            </w:r>
          </w:p>
        </w:tc>
      </w:tr>
    </w:tbl>
    <w:p>
      <w:pPr>
        <w:pStyle w:val="TextBody"/>
        <w:bidi w:val="0"/>
        <w:spacing w:before="240" w:after="0"/>
        <w:jc w:val="left"/>
        <w:rPr>
          <w:rFonts w:ascii="arial" w:hAnsi="arial"/>
          <w:sz w:val="20"/>
        </w:rPr>
      </w:pPr>
      <w:r>
        <w:rPr>
          <w:rFonts w:ascii="arial" w:hAnsi="arial"/>
          <w:sz w:val="20"/>
        </w:rPr>
        <w:t>See “</w:t>
      </w:r>
    </w:p>
    <w:p>
      <w:pPr>
        <w:pStyle w:val="TextBody"/>
        <w:bidi w:val="0"/>
        <w:spacing w:before="240" w:after="0"/>
        <w:jc w:val="left"/>
        <w:rPr>
          <w:rFonts w:ascii="arial" w:hAnsi="arial"/>
          <w:i/>
          <w:caps w:val="false"/>
          <w:smallCaps w:val="false"/>
          <w:spacing w:val="0"/>
          <w:sz w:val="20"/>
        </w:rPr>
      </w:pPr>
      <w:r>
        <w:rPr>
          <w:rFonts w:ascii="arial" w:hAnsi="arial"/>
          <w:i/>
          <w:caps w:val="false"/>
          <w:smallCaps w:val="false"/>
          <w:spacing w:val="0"/>
          <w:sz w:val="20"/>
        </w:rPr>
        <w:t xml:space="preserve">Additional Information – Use of </w:t>
      </w:r>
    </w:p>
    <w:p>
      <w:pPr>
        <w:pStyle w:val="TextBody"/>
        <w:bidi w:val="0"/>
        <w:spacing w:before="240" w:after="0"/>
        <w:jc w:val="left"/>
        <w:rPr>
          <w:rFonts w:ascii="arial" w:hAnsi="arial"/>
          <w:i/>
          <w:caps w:val="false"/>
          <w:smallCaps w:val="false"/>
          <w:spacing w:val="0"/>
          <w:sz w:val="20"/>
        </w:rPr>
      </w:pPr>
      <w:r>
        <w:rPr>
          <w:rFonts w:ascii="arial" w:hAnsi="arial"/>
          <w:i/>
          <w:caps w:val="false"/>
          <w:smallCaps w:val="false"/>
          <w:spacing w:val="0"/>
          <w:sz w:val="20"/>
        </w:rPr>
        <w:t>Non-GAAP</w:t>
      </w:r>
    </w:p>
    <w:p>
      <w:pPr>
        <w:pStyle w:val="TextBody"/>
        <w:bidi w:val="0"/>
        <w:spacing w:before="240" w:after="0"/>
        <w:jc w:val="left"/>
        <w:rPr>
          <w:rFonts w:ascii="arial" w:hAnsi="arial"/>
          <w:i/>
          <w:caps w:val="false"/>
          <w:smallCaps w:val="false"/>
          <w:spacing w:val="0"/>
          <w:sz w:val="20"/>
        </w:rPr>
      </w:pPr>
      <w:r>
        <w:rPr>
          <w:rFonts w:ascii="arial" w:hAnsi="arial"/>
          <w:i/>
          <w:caps w:val="false"/>
          <w:smallCaps w:val="false"/>
          <w:spacing w:val="0"/>
          <w:sz w:val="20"/>
        </w:rPr>
        <w:t>Financial Measures</w:t>
      </w:r>
    </w:p>
    <w:p>
      <w:pPr>
        <w:pStyle w:val="TextBody"/>
        <w:bidi w:val="0"/>
        <w:spacing w:before="240" w:after="0"/>
        <w:jc w:val="left"/>
        <w:rPr/>
      </w:pPr>
      <w:r>
        <w:rPr/>
        <w:t xml:space="preserve">” </w:t>
      </w:r>
      <w:r>
        <w:rPr>
          <w:rFonts w:ascii="arial" w:hAnsi="arial"/>
          <w:sz w:val="20"/>
        </w:rPr>
        <w:t xml:space="preserve">for a reconciliation of Adjusted EBITDA to the most directly comparable GAAP measure. </w:t>
      </w:r>
    </w:p>
    <w:p>
      <w:pPr>
        <w:pStyle w:val="TextBody"/>
        <w:bidi w:val="0"/>
        <w:spacing w:before="240" w:after="0"/>
        <w:jc w:val="left"/>
        <w:rPr>
          <w:rFonts w:ascii="arial" w:hAnsi="arial"/>
          <w:sz w:val="20"/>
        </w:rPr>
      </w:pPr>
      <w:r>
        <w:rPr>
          <w:rFonts w:ascii="arial" w:hAnsi="arial"/>
          <w:sz w:val="20"/>
        </w:rPr>
        <w:t xml:space="preserve">The following table lists the financial performance measure that we believe represents the most important financial measure used to link compensation actually paid to our executives to Company performance. </w:t>
      </w:r>
    </w:p>
    <w:p>
      <w:pPr>
        <w:pStyle w:val="TextBody"/>
        <w:bidi w:val="0"/>
        <w:spacing w:before="0" w:after="0"/>
        <w:jc w:val="left"/>
        <w:rPr/>
      </w:pPr>
      <w:r>
        <w:rPr/>
        <w:t> </w:t>
      </w:r>
    </w:p>
    <w:tbl>
      <w:tblPr>
        <w:tblW w:w="5276" w:type="dxa"/>
        <w:jc w:val="left"/>
        <w:tblInd w:w="0" w:type="dxa"/>
        <w:tblLayout w:type="fixed"/>
        <w:tblCellMar>
          <w:top w:w="0" w:type="dxa"/>
          <w:left w:w="0" w:type="dxa"/>
          <w:bottom w:w="0" w:type="dxa"/>
          <w:right w:w="0" w:type="dxa"/>
        </w:tblCellMar>
      </w:tblPr>
      <w:tblGrid>
        <w:gridCol w:w="38"/>
        <w:gridCol w:w="60"/>
        <w:gridCol w:w="845"/>
        <w:gridCol w:w="120"/>
        <w:gridCol w:w="4055"/>
        <w:gridCol w:w="12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D5DBE3" w:val="clear"/>
            <w:vAlign w:val="center"/>
          </w:tcPr>
          <w:p>
            <w:pPr>
              <w:pStyle w:val="TableContents"/>
              <w:bidi w:val="0"/>
              <w:spacing w:before="0" w:after="283"/>
              <w:jc w:val="left"/>
              <w:rPr>
                <w:sz w:val="4"/>
                <w:szCs w:val="4"/>
              </w:rPr>
            </w:pPr>
            <w:r>
              <w:rPr>
                <w:sz w:val="4"/>
                <w:szCs w:val="4"/>
              </w:rPr>
            </w:r>
          </w:p>
        </w:tc>
        <w:tc>
          <w:tcPr>
            <w:tcW w:w="417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shd w:fill="D5DBE3" w:val="clear"/>
            <w:vAlign w:val="center"/>
          </w:tcPr>
          <w:p>
            <w:pPr>
              <w:pStyle w:val="TableContents"/>
              <w:bidi w:val="0"/>
              <w:spacing w:before="0" w:after="283"/>
              <w:jc w:val="left"/>
              <w:rPr/>
            </w:pPr>
            <w:r>
              <w:rPr/>
              <w:t> </w:t>
            </w:r>
          </w:p>
        </w:tc>
        <w:tc>
          <w:tcPr>
            <w:tcW w:w="845" w:type="dxa"/>
            <w:tcBorders/>
            <w:shd w:fill="D5DBE3" w:val="clear"/>
            <w:vAlign w:val="center"/>
          </w:tcPr>
          <w:p>
            <w:pPr>
              <w:pStyle w:val="TableContents"/>
              <w:bidi w:val="0"/>
              <w:spacing w:before="0" w:after="0"/>
              <w:jc w:val="center"/>
              <w:rPr>
                <w:rFonts w:ascii="arial" w:hAnsi="arial"/>
                <w:b/>
                <w:sz w:val="20"/>
              </w:rPr>
            </w:pPr>
            <w:r>
              <w:rPr>
                <w:rFonts w:ascii="arial" w:hAnsi="arial"/>
                <w:b/>
                <w:sz w:val="20"/>
              </w:rPr>
              <w:t>Adjusted</w:t>
            </w:r>
          </w:p>
          <w:p>
            <w:pPr>
              <w:pStyle w:val="TableContents"/>
              <w:bidi w:val="0"/>
              <w:spacing w:before="0" w:after="0"/>
              <w:jc w:val="center"/>
              <w:rPr>
                <w:rFonts w:ascii="arial" w:hAnsi="arial"/>
                <w:b/>
                <w:sz w:val="20"/>
              </w:rPr>
            </w:pPr>
            <w:r>
              <w:rPr>
                <w:rFonts w:ascii="arial" w:hAnsi="arial"/>
                <w:b/>
                <w:sz w:val="20"/>
              </w:rPr>
              <w:t>EBITDA</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left"/>
              <w:rPr>
                <w:rFonts w:ascii="SYMBOL" w:hAnsi="SYMBOL"/>
                <w:color w:val="000000"/>
                <w:spacing w:val="0"/>
                <w:sz w:val="16"/>
              </w:rPr>
            </w:pPr>
            <w:r>
              <w:rPr>
                <w:rFonts w:ascii="SYMBOL" w:hAnsi="SYMBOL"/>
                <w:color w:val="000000"/>
                <w:spacing w:val="0"/>
                <w:sz w:val="16"/>
              </w:rPr>
              <w:t>·</w:t>
            </w:r>
          </w:p>
          <w:p>
            <w:pPr>
              <w:pStyle w:val="TableContents"/>
              <w:bidi w:val="0"/>
              <w:spacing w:before="0" w:after="0"/>
              <w:jc w:val="left"/>
              <w:rPr/>
            </w:pPr>
            <w:r>
              <w:rPr/>
              <w:t> </w:t>
            </w:r>
            <w:r>
              <w:rPr>
                <w:rFonts w:ascii="arial" w:hAnsi="arial"/>
                <w:sz w:val="20"/>
              </w:rPr>
              <w:t>Performance-based incentive cash awards</w:t>
            </w:r>
          </w:p>
          <w:p>
            <w:pPr>
              <w:pStyle w:val="TableContents"/>
              <w:bidi w:val="0"/>
              <w:spacing w:before="0" w:after="20"/>
              <w:jc w:val="left"/>
              <w:rPr>
                <w:rFonts w:ascii="SYMBOL" w:hAnsi="SYMBOL"/>
                <w:color w:val="000000"/>
                <w:spacing w:val="0"/>
                <w:sz w:val="16"/>
              </w:rPr>
            </w:pPr>
            <w:r>
              <w:rPr>
                <w:rFonts w:ascii="SYMBOL" w:hAnsi="SYMBOL"/>
                <w:color w:val="000000"/>
                <w:spacing w:val="0"/>
                <w:sz w:val="16"/>
              </w:rPr>
              <w:t>·</w:t>
            </w:r>
          </w:p>
          <w:p>
            <w:pPr>
              <w:pStyle w:val="TableContents"/>
              <w:bidi w:val="0"/>
              <w:spacing w:before="0" w:after="20"/>
              <w:jc w:val="left"/>
              <w:rPr/>
            </w:pPr>
            <w:r>
              <w:rPr/>
              <w:t> </w:t>
            </w:r>
            <w:r>
              <w:rPr>
                <w:rFonts w:ascii="arial" w:hAnsi="arial"/>
                <w:sz w:val="20"/>
              </w:rPr>
              <w:t>Performance-based incentive equity awards</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1070B8"/>
        </w:rPr>
      </w:pPr>
      <w:r>
        <w:rPr>
          <w:bdr w:val="single" w:sz="2" w:space="1" w:color="1070B8"/>
        </w:rPr>
        <w:t> </w:t>
      </w:r>
    </w:p>
    <w:p>
      <w:pPr>
        <w:pStyle w:val="TextBody"/>
        <w:bidi w:val="0"/>
        <w:spacing w:before="0" w:after="0"/>
        <w:jc w:val="center"/>
        <w:rPr>
          <w:rFonts w:ascii="arial" w:hAnsi="arial"/>
          <w:b/>
          <w:color w:val="1070B8"/>
          <w:spacing w:val="0"/>
          <w:sz w:val="20"/>
        </w:rPr>
      </w:pPr>
      <w:r>
        <w:rPr>
          <w:rFonts w:ascii="arial" w:hAnsi="arial"/>
          <w:b/>
          <w:color w:val="1070B8"/>
          <w:spacing w:val="0"/>
          <w:sz w:val="20"/>
        </w:rPr>
        <w:t xml:space="preserve">IBP 2025 Proxy Statement </w:t>
      </w:r>
    </w:p>
    <w:p>
      <w:pPr>
        <w:pStyle w:val="TextBody"/>
        <w:bidi w:val="0"/>
        <w:spacing w:before="80" w:after="0"/>
        <w:jc w:val="center"/>
        <w:rPr>
          <w:rFonts w:ascii="arial" w:hAnsi="arial"/>
          <w:color w:val="1070B8"/>
          <w:spacing w:val="0"/>
          <w:sz w:val="20"/>
        </w:rPr>
      </w:pPr>
      <w:r>
        <w:rPr>
          <w:rFonts w:ascii="arial" w:hAnsi="arial"/>
          <w:color w:val="1070B8"/>
          <w:spacing w:val="0"/>
          <w:sz w:val="20"/>
        </w:rPr>
        <w:t xml:space="preserve">Executive Compensation </w:t>
      </w:r>
    </w:p>
    <w:p>
      <w:pPr>
        <w:pStyle w:val="TextBody"/>
        <w:bidi w:val="0"/>
        <w:spacing w:before="0" w:after="0"/>
        <w:jc w:val="left"/>
        <w:rPr/>
      </w:pPr>
      <w:r>
        <w:rPr/>
        <w:t> </w:t>
      </w:r>
    </w:p>
    <w:p>
      <w:pPr>
        <w:pStyle w:val="TextBody"/>
        <w:bidi w:val="0"/>
        <w:spacing w:before="0" w:after="0"/>
        <w:jc w:val="center"/>
        <w:rPr>
          <w:rFonts w:ascii="arial" w:hAnsi="arial"/>
          <w:color w:val="1070B8"/>
          <w:spacing w:val="0"/>
          <w:sz w:val="20"/>
        </w:rPr>
      </w:pPr>
      <w:r>
        <w:rPr>
          <w:rFonts w:ascii="arial" w:hAnsi="arial"/>
          <w:color w:val="1070B8"/>
          <w:spacing w:val="0"/>
          <w:sz w:val="20"/>
        </w:rPr>
        <w:t xml:space="preserve">78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color w:val="1070B8"/>
          <w:spacing w:val="0"/>
          <w:sz w:val="44"/>
        </w:rPr>
      </w:pPr>
      <w:r>
        <w:rPr>
          <w:rFonts w:ascii="Times New Roman" w:hAnsi="Times New Roman"/>
          <w:b/>
          <w:color w:val="1070B8"/>
          <w:spacing w:val="0"/>
          <w:sz w:val="44"/>
        </w:rPr>
        <w:t xml:space="preserve">STOCK OWNERSHIP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p>
      <w:pPr>
        <w:pStyle w:val="TextBody"/>
        <w:bidi w:val="0"/>
        <w:spacing w:lineRule="atLeast" w:line="142" w:before="0" w:after="40"/>
        <w:jc w:val="left"/>
        <w:rPr>
          <w:bdr w:val="single" w:sz="2" w:space="1" w:color="1070B8"/>
        </w:rPr>
      </w:pPr>
      <w:r>
        <w:rPr>
          <w:bdr w:val="single" w:sz="2" w:space="1" w:color="1070B8"/>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color w:val="1F295C"/>
          <w:spacing w:val="0"/>
          <w:sz w:val="24"/>
        </w:rPr>
      </w:pPr>
      <w:r>
        <w:rPr>
          <w:rFonts w:ascii="arial" w:hAnsi="arial"/>
          <w:b/>
          <w:color w:val="1F295C"/>
          <w:spacing w:val="0"/>
          <w:sz w:val="24"/>
        </w:rPr>
        <w:t xml:space="preserve">Stock Ownership 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20"/>
        </w:rPr>
      </w:pPr>
      <w:r>
        <w:rPr>
          <w:rFonts w:ascii="arial" w:hAnsi="arial"/>
          <w:sz w:val="20"/>
        </w:rPr>
        <w:t xml:space="preserve">The following table shows the beneficial ownership of our common stock as of March 25, 2025 held by: </w:t>
      </w:r>
    </w:p>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75"/>
        <w:gridCol w:w="215"/>
        <w:gridCol w:w="60"/>
        <w:gridCol w:w="851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1F295C"/>
                <w:spacing w:val="0"/>
              </w:rPr>
            </w:pPr>
            <w:r>
              <w:rPr>
                <w:color w:val="1F295C"/>
                <w:spacing w:val="0"/>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arial" w:hAnsi="arial"/>
                <w:sz w:val="20"/>
              </w:rPr>
            </w:pPr>
            <w:r>
              <w:rPr>
                <w:rFonts w:ascii="arial" w:hAnsi="arial"/>
                <w:sz w:val="20"/>
              </w:rPr>
              <w:t xml:space="preserve">each person whom we know to beneficially own more than 5% of our outstanding common stock; </w:t>
            </w:r>
          </w:p>
        </w:tc>
      </w:tr>
    </w:tbl>
    <w:tbl>
      <w:tblPr>
        <w:tblW w:w="1630" w:type="dxa"/>
        <w:jc w:val="left"/>
        <w:tblInd w:w="0" w:type="dxa"/>
        <w:tblLayout w:type="fixed"/>
        <w:tblCellMar>
          <w:top w:w="0" w:type="dxa"/>
          <w:left w:w="0" w:type="dxa"/>
          <w:bottom w:w="0" w:type="dxa"/>
          <w:right w:w="0" w:type="dxa"/>
        </w:tblCellMar>
      </w:tblPr>
      <w:tblGrid>
        <w:gridCol w:w="75"/>
        <w:gridCol w:w="215"/>
        <w:gridCol w:w="60"/>
        <w:gridCol w:w="128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1F295C"/>
                <w:spacing w:val="0"/>
              </w:rPr>
            </w:pPr>
            <w:r>
              <w:rPr>
                <w:color w:val="1F295C"/>
                <w:spacing w:val="0"/>
              </w:rPr>
              <w: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0"/>
              <w:jc w:val="left"/>
              <w:rPr>
                <w:rFonts w:ascii="arial" w:hAnsi="arial"/>
                <w:sz w:val="20"/>
              </w:rPr>
            </w:pPr>
            <w:r>
              <w:rPr>
                <w:rFonts w:ascii="arial" w:hAnsi="arial"/>
                <w:sz w:val="20"/>
              </w:rPr>
              <w:t xml:space="preserve">each director; </w:t>
            </w:r>
          </w:p>
        </w:tc>
      </w:tr>
    </w:tbl>
    <w:tbl>
      <w:tblPr>
        <w:tblW w:w="3445" w:type="dxa"/>
        <w:jc w:val="left"/>
        <w:tblInd w:w="0" w:type="dxa"/>
        <w:tblLayout w:type="fixed"/>
        <w:tblCellMar>
          <w:top w:w="0" w:type="dxa"/>
          <w:left w:w="0" w:type="dxa"/>
          <w:bottom w:w="0" w:type="dxa"/>
          <w:right w:w="0" w:type="dxa"/>
        </w:tblCellMar>
      </w:tblPr>
      <w:tblGrid>
        <w:gridCol w:w="75"/>
        <w:gridCol w:w="215"/>
        <w:gridCol w:w="60"/>
        <w:gridCol w:w="309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1F295C"/>
                <w:spacing w:val="0"/>
              </w:rPr>
            </w:pPr>
            <w:r>
              <w:rPr>
                <w:color w:val="1F295C"/>
                <w:spacing w:val="0"/>
              </w:rPr>
              <w: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rFonts w:ascii="arial" w:hAnsi="arial"/>
                <w:sz w:val="20"/>
              </w:rPr>
            </w:pPr>
            <w:r>
              <w:rPr>
                <w:rFonts w:ascii="arial" w:hAnsi="arial"/>
                <w:sz w:val="20"/>
              </w:rPr>
              <w:t xml:space="preserve">each named executive officer; and </w:t>
            </w:r>
          </w:p>
        </w:tc>
      </w:tr>
    </w:tbl>
    <w:tbl>
      <w:tblPr>
        <w:tblW w:w="4465" w:type="dxa"/>
        <w:jc w:val="left"/>
        <w:tblInd w:w="0" w:type="dxa"/>
        <w:tblLayout w:type="fixed"/>
        <w:tblCellMar>
          <w:top w:w="0" w:type="dxa"/>
          <w:left w:w="0" w:type="dxa"/>
          <w:bottom w:w="0" w:type="dxa"/>
          <w:right w:w="0" w:type="dxa"/>
        </w:tblCellMar>
      </w:tblPr>
      <w:tblGrid>
        <w:gridCol w:w="75"/>
        <w:gridCol w:w="215"/>
        <w:gridCol w:w="60"/>
        <w:gridCol w:w="41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1F295C"/>
                <w:spacing w:val="0"/>
              </w:rPr>
            </w:pPr>
            <w:r>
              <w:rPr>
                <w:color w:val="1F295C"/>
                <w:spacing w:val="0"/>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left"/>
              <w:rPr>
                <w:rFonts w:ascii="arial" w:hAnsi="arial"/>
                <w:sz w:val="20"/>
              </w:rPr>
            </w:pPr>
            <w:r>
              <w:rPr>
                <w:rFonts w:ascii="arial" w:hAnsi="arial"/>
                <w:sz w:val="20"/>
              </w:rPr>
              <w:t xml:space="preserve">all directors and executive officers as a group. </w:t>
            </w:r>
          </w:p>
        </w:tc>
      </w:tr>
    </w:tbl>
    <w:p>
      <w:pPr>
        <w:pStyle w:val="TextBody"/>
        <w:bidi w:val="0"/>
        <w:spacing w:before="240" w:after="0"/>
        <w:jc w:val="left"/>
        <w:rPr>
          <w:rFonts w:ascii="arial" w:hAnsi="arial"/>
          <w:sz w:val="20"/>
        </w:rPr>
      </w:pPr>
      <w:r>
        <w:rPr>
          <w:rFonts w:ascii="arial" w:hAnsi="arial"/>
          <w:sz w:val="20"/>
        </w:rPr>
        <w:t xml:space="preserve">Unless otherwise indicated, the address of each director and executive officer is c/o Installed Building Products, Inc., 495 South High Street, Suite 50, Columbus, Ohio 43215. </w:t>
      </w:r>
    </w:p>
    <w:p>
      <w:pPr>
        <w:pStyle w:val="TextBody"/>
        <w:bidi w:val="0"/>
        <w:spacing w:before="240" w:after="0"/>
        <w:jc w:val="left"/>
        <w:rPr>
          <w:rFonts w:ascii="arial" w:hAnsi="arial"/>
          <w:sz w:val="20"/>
        </w:rPr>
      </w:pPr>
      <w:r>
        <w:rPr>
          <w:rFonts w:ascii="arial" w:hAnsi="arial"/>
          <w:sz w:val="20"/>
        </w:rPr>
        <w:t xml:space="preserve">The number of shares of common stock “beneficially owned” is determined under certain SEC rules and is not necessarily indicative of ownership for any other purpose. Under these rules, beneficial ownership includes shares as to which the stockholder has sole or shared voting power or investment power and shares as to which the stockholder has the right to acquire beneficial ownership within 60 days after March 25, 2025, including shares that could be purchased by the exercise of options or warrants. Unless otherwise indicated, to our knowledge all persons named in the table have sole voting and investment power with respect to their shares of our common stock. Each stockholder’s percentage ownership is based on 27,610,885 shares of common stock outstanding as of March 25, 2025, except to the extent indicated in the footnotes . </w:t>
      </w:r>
    </w:p>
    <w:p>
      <w:pPr>
        <w:pStyle w:val="TextBody"/>
        <w:bidi w:val="0"/>
        <w:spacing w:before="0" w:after="0"/>
        <w:jc w:val="left"/>
        <w:rPr/>
      </w:pPr>
      <w:r>
        <w:rPr/>
        <w:t> </w:t>
      </w:r>
    </w:p>
    <w:tbl>
      <w:tblPr>
        <w:tblW w:w="8317" w:type="dxa"/>
        <w:jc w:val="left"/>
        <w:tblInd w:w="0" w:type="dxa"/>
        <w:tblLayout w:type="fixed"/>
        <w:tblCellMar>
          <w:top w:w="0" w:type="dxa"/>
          <w:left w:w="0" w:type="dxa"/>
          <w:bottom w:w="0" w:type="dxa"/>
          <w:right w:w="0" w:type="dxa"/>
        </w:tblCellMar>
      </w:tblPr>
      <w:tblGrid>
        <w:gridCol w:w="5345"/>
        <w:gridCol w:w="120"/>
        <w:gridCol w:w="92"/>
        <w:gridCol w:w="92"/>
        <w:gridCol w:w="1519"/>
        <w:gridCol w:w="35"/>
        <w:gridCol w:w="185"/>
        <w:gridCol w:w="92"/>
        <w:gridCol w:w="92"/>
        <w:gridCol w:w="681"/>
        <w:gridCol w:w="64"/>
      </w:tblGrid>
      <w:tr>
        <w:trPr/>
        <w:tc>
          <w:tcPr>
            <w:tcW w:w="5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pPr>
            <w:r>
              <w:rPr/>
              <w:t> </w:t>
            </w:r>
          </w:p>
        </w:tc>
        <w:tc>
          <w:tcPr>
            <w:tcW w:w="120" w:type="dxa"/>
            <w:tcBorders>
              <w:bottom w:val="single" w:sz="16" w:space="0" w:color="1070B8"/>
            </w:tcBorders>
            <w:tcMar>
              <w:bottom w:w="28" w:type="dxa"/>
            </w:tcMar>
            <w:vAlign w:val="center"/>
          </w:tcPr>
          <w:p>
            <w:pPr>
              <w:pStyle w:val="TableContents"/>
              <w:bidi w:val="0"/>
              <w:spacing w:before="0" w:after="283"/>
              <w:jc w:val="left"/>
              <w:rPr/>
            </w:pPr>
            <w:r>
              <w:rPr/>
              <w:t>  </w:t>
            </w:r>
          </w:p>
        </w:tc>
        <w:tc>
          <w:tcPr>
            <w:tcW w:w="2852" w:type="dxa"/>
            <w:gridSpan w:val="9"/>
            <w:tcBorders>
              <w:bottom w:val="single" w:sz="16" w:space="0" w:color="1070B8"/>
            </w:tcBorders>
            <w:tcMar>
              <w:bottom w:w="40" w:type="dxa"/>
            </w:tcMar>
            <w:vAlign w:val="center"/>
          </w:tcPr>
          <w:p>
            <w:pPr>
              <w:pStyle w:val="TableContents"/>
              <w:bidi w:val="0"/>
              <w:spacing w:before="0" w:after="0"/>
              <w:jc w:val="center"/>
              <w:rPr>
                <w:color w:val="1F295C"/>
                <w:spacing w:val="0"/>
              </w:rPr>
            </w:pPr>
            <w:r>
              <w:rPr>
                <w:color w:val="1F295C"/>
                <w:spacing w:val="0"/>
              </w:rPr>
              <w:t> </w:t>
            </w:r>
            <w:r>
              <w:rPr>
                <w:rFonts w:ascii="arial" w:hAnsi="arial"/>
                <w:b/>
                <w:color w:val="1F295C"/>
                <w:spacing w:val="0"/>
                <w:sz w:val="20"/>
              </w:rPr>
              <w:t>Shares of Common Stock </w:t>
            </w:r>
          </w:p>
          <w:p>
            <w:pPr>
              <w:pStyle w:val="TableContents"/>
              <w:bidi w:val="0"/>
              <w:spacing w:before="0" w:after="0"/>
              <w:jc w:val="center"/>
              <w:rPr>
                <w:rFonts w:ascii="arial" w:hAnsi="arial"/>
                <w:b/>
                <w:color w:val="1F295C"/>
                <w:spacing w:val="0"/>
                <w:sz w:val="20"/>
              </w:rPr>
            </w:pPr>
            <w:r>
              <w:rPr>
                <w:rFonts w:ascii="arial" w:hAnsi="arial"/>
                <w:b/>
                <w:color w:val="1F295C"/>
                <w:spacing w:val="0"/>
                <w:sz w:val="20"/>
              </w:rPr>
              <w:t>Beneficially Owned</w:t>
            </w:r>
          </w:p>
          <w:p>
            <w:pPr>
              <w:pStyle w:val="TableContents"/>
              <w:bidi w:val="0"/>
              <w:spacing w:before="0" w:after="20"/>
              <w:jc w:val="left"/>
              <w:rPr/>
            </w:pPr>
            <w:r>
              <w:rPr/>
              <w:t> </w:t>
            </w:r>
          </w:p>
        </w:tc>
      </w:tr>
      <w:tr>
        <w:trPr/>
        <w:tc>
          <w:tcPr>
            <w:tcW w:w="5345" w:type="dxa"/>
            <w:tcBorders>
              <w:bottom w:val="single" w:sz="16" w:space="0" w:color="1070B8"/>
            </w:tcBorders>
            <w:tcMar>
              <w:bottom w:w="60" w:type="dxa"/>
            </w:tcMar>
            <w:vAlign w:val="center"/>
          </w:tcPr>
          <w:p>
            <w:pPr>
              <w:pStyle w:val="TableContents"/>
              <w:bidi w:val="0"/>
              <w:spacing w:before="0" w:after="0"/>
              <w:jc w:val="left"/>
              <w:rPr>
                <w:color w:val="1F295C"/>
                <w:spacing w:val="0"/>
              </w:rPr>
            </w:pPr>
            <w:r>
              <w:rPr>
                <w:color w:val="1F295C"/>
                <w:spacing w:val="0"/>
              </w:rPr>
              <w:t> </w:t>
            </w:r>
            <w:r>
              <w:rPr>
                <w:b/>
                <w:color w:val="1F295C"/>
                <w:spacing w:val="0"/>
              </w:rPr>
              <w:t>Name of Beneficial Owner</w:t>
            </w:r>
          </w:p>
        </w:tc>
        <w:tc>
          <w:tcPr>
            <w:tcW w:w="120" w:type="dxa"/>
            <w:tcBorders>
              <w:bottom w:val="single" w:sz="16" w:space="0" w:color="1070B8"/>
            </w:tcBorders>
            <w:tcMar>
              <w:bottom w:w="28" w:type="dxa"/>
            </w:tcMar>
            <w:vAlign w:val="center"/>
          </w:tcPr>
          <w:p>
            <w:pPr>
              <w:pStyle w:val="TableContents"/>
              <w:bidi w:val="0"/>
              <w:spacing w:before="0" w:after="283"/>
              <w:jc w:val="left"/>
              <w:rPr/>
            </w:pPr>
            <w:r>
              <w:rPr/>
              <w:t>  </w:t>
            </w:r>
          </w:p>
        </w:tc>
        <w:tc>
          <w:tcPr>
            <w:tcW w:w="1738" w:type="dxa"/>
            <w:gridSpan w:val="4"/>
            <w:tcBorders>
              <w:bottom w:val="single" w:sz="16" w:space="0" w:color="1070B8"/>
            </w:tcBorders>
            <w:tcMar>
              <w:bottom w:w="60" w:type="dxa"/>
            </w:tcMar>
            <w:vAlign w:val="center"/>
          </w:tcPr>
          <w:p>
            <w:pPr>
              <w:pStyle w:val="TableContents"/>
              <w:bidi w:val="0"/>
              <w:spacing w:before="0" w:after="0"/>
              <w:jc w:val="center"/>
              <w:rPr>
                <w:b/>
                <w:color w:val="1F295C"/>
                <w:spacing w:val="0"/>
              </w:rPr>
            </w:pPr>
            <w:r>
              <w:rPr>
                <w:b/>
                <w:color w:val="1F295C"/>
                <w:spacing w:val="0"/>
              </w:rPr>
              <w:t>Number</w:t>
            </w:r>
          </w:p>
        </w:tc>
        <w:tc>
          <w:tcPr>
            <w:tcW w:w="185" w:type="dxa"/>
            <w:tcBorders>
              <w:bottom w:val="single" w:sz="16" w:space="0" w:color="1070B8"/>
            </w:tcBorders>
            <w:tcMar>
              <w:bottom w:w="28" w:type="dxa"/>
            </w:tcMar>
            <w:vAlign w:val="center"/>
          </w:tcPr>
          <w:p>
            <w:pPr>
              <w:pStyle w:val="TableContents"/>
              <w:bidi w:val="0"/>
              <w:spacing w:before="0" w:after="283"/>
              <w:jc w:val="left"/>
              <w:rPr/>
            </w:pPr>
            <w:r>
              <w:rPr/>
              <w:t>  </w:t>
            </w:r>
          </w:p>
        </w:tc>
        <w:tc>
          <w:tcPr>
            <w:tcW w:w="929" w:type="dxa"/>
            <w:gridSpan w:val="4"/>
            <w:tcBorders>
              <w:bottom w:val="single" w:sz="16" w:space="0" w:color="1070B8"/>
            </w:tcBorders>
            <w:tcMar>
              <w:bottom w:w="60" w:type="dxa"/>
            </w:tcMar>
            <w:vAlign w:val="center"/>
          </w:tcPr>
          <w:p>
            <w:pPr>
              <w:pStyle w:val="TableContents"/>
              <w:bidi w:val="0"/>
              <w:spacing w:before="0" w:after="0"/>
              <w:jc w:val="center"/>
              <w:rPr>
                <w:b/>
                <w:color w:val="1F295C"/>
                <w:spacing w:val="0"/>
              </w:rPr>
            </w:pPr>
            <w:r>
              <w:rPr>
                <w:b/>
                <w:color w:val="1F295C"/>
                <w:spacing w:val="0"/>
              </w:rPr>
              <w:t>Percent</w:t>
            </w:r>
          </w:p>
        </w:tc>
      </w:tr>
      <w:tr>
        <w:trPr/>
        <w:tc>
          <w:tcPr>
            <w:tcW w:w="5345" w:type="dxa"/>
            <w:tcBorders/>
            <w:shd w:fill="D5DBE3" w:val="clear"/>
            <w:vAlign w:val="center"/>
          </w:tcPr>
          <w:p>
            <w:pPr>
              <w:pStyle w:val="TableContents"/>
              <w:bidi w:val="0"/>
              <w:spacing w:before="0" w:after="283"/>
              <w:jc w:val="left"/>
              <w:rPr>
                <w:sz w:val="4"/>
                <w:szCs w:val="4"/>
              </w:rPr>
            </w:pPr>
            <w:r>
              <w:rPr>
                <w:sz w:val="4"/>
                <w:szCs w:val="4"/>
              </w:rPr>
            </w:r>
          </w:p>
        </w:tc>
        <w:tc>
          <w:tcPr>
            <w:tcW w:w="1858" w:type="dxa"/>
            <w:gridSpan w:val="5"/>
            <w:tcBorders/>
            <w:shd w:fill="D5DBE3" w:val="clear"/>
            <w:vAlign w:val="center"/>
          </w:tcPr>
          <w:p>
            <w:pPr>
              <w:pStyle w:val="TableContents"/>
              <w:bidi w:val="0"/>
              <w:spacing w:before="0" w:after="283"/>
              <w:jc w:val="left"/>
              <w:rPr>
                <w:sz w:val="4"/>
                <w:szCs w:val="4"/>
              </w:rPr>
            </w:pPr>
            <w:r>
              <w:rPr>
                <w:sz w:val="4"/>
                <w:szCs w:val="4"/>
              </w:rPr>
            </w:r>
          </w:p>
        </w:tc>
        <w:tc>
          <w:tcPr>
            <w:tcW w:w="1114" w:type="dxa"/>
            <w:gridSpan w:val="5"/>
            <w:tcBorders/>
            <w:shd w:fill="D5DBE3" w:val="clear"/>
            <w:vAlign w:val="center"/>
          </w:tcPr>
          <w:p>
            <w:pPr>
              <w:pStyle w:val="TableContents"/>
              <w:bidi w:val="0"/>
              <w:spacing w:before="0" w:after="283"/>
              <w:jc w:val="left"/>
              <w:rPr>
                <w:sz w:val="4"/>
                <w:szCs w:val="4"/>
              </w:rPr>
            </w:pPr>
            <w:r>
              <w:rPr>
                <w:sz w:val="4"/>
                <w:szCs w:val="4"/>
              </w:rPr>
            </w:r>
          </w:p>
        </w:tc>
      </w:tr>
      <w:tr>
        <w:trPr/>
        <w:tc>
          <w:tcPr>
            <w:tcW w:w="5345" w:type="dxa"/>
            <w:tcBorders/>
            <w:shd w:fill="D5DBE3" w:val="clear"/>
            <w:vAlign w:val="center"/>
          </w:tcPr>
          <w:p>
            <w:pPr>
              <w:pStyle w:val="TableContents"/>
              <w:bidi w:val="0"/>
              <w:spacing w:before="0" w:after="0"/>
              <w:jc w:val="left"/>
              <w:rPr>
                <w:color w:val="1F295C"/>
                <w:spacing w:val="0"/>
              </w:rPr>
            </w:pPr>
            <w:r>
              <w:rPr>
                <w:color w:val="1F295C"/>
                <w:spacing w:val="0"/>
              </w:rPr>
              <w:t> </w:t>
            </w:r>
            <w:r>
              <w:rPr>
                <w:rFonts w:ascii="arial" w:hAnsi="arial"/>
                <w:b/>
                <w:color w:val="1F295C"/>
                <w:spacing w:val="0"/>
                <w:sz w:val="20"/>
              </w:rPr>
              <w:t>5% Stockholders:</w:t>
            </w:r>
          </w:p>
        </w:tc>
        <w:tc>
          <w:tcPr>
            <w:tcW w:w="120" w:type="dxa"/>
            <w:tcBorders/>
            <w:shd w:fill="D5DBE3" w:val="clear"/>
            <w:vAlign w:val="center"/>
          </w:tcPr>
          <w:p>
            <w:pPr>
              <w:pStyle w:val="TableContents"/>
              <w:bidi w:val="0"/>
              <w:spacing w:before="0" w:after="283"/>
              <w:jc w:val="left"/>
              <w:rPr/>
            </w:pPr>
            <w:r>
              <w:rPr/>
              <w:t>  </w:t>
            </w:r>
          </w:p>
        </w:tc>
        <w:tc>
          <w:tcPr>
            <w:tcW w:w="92" w:type="dxa"/>
            <w:tcBorders/>
            <w:shd w:fill="D5DBE3" w:val="clear"/>
            <w:vAlign w:val="center"/>
          </w:tcPr>
          <w:p>
            <w:pPr>
              <w:pStyle w:val="TableContents"/>
              <w:bidi w:val="0"/>
              <w:spacing w:before="0" w:after="283"/>
              <w:jc w:val="left"/>
              <w:rPr/>
            </w:pPr>
            <w:r>
              <w:rPr/>
              <w:t> </w:t>
            </w:r>
          </w:p>
        </w:tc>
        <w:tc>
          <w:tcPr>
            <w:tcW w:w="92" w:type="dxa"/>
            <w:tcBorders/>
            <w:shd w:fill="D5DBE3" w:val="clear"/>
            <w:vAlign w:val="center"/>
          </w:tcPr>
          <w:p>
            <w:pPr>
              <w:pStyle w:val="TableContents"/>
              <w:bidi w:val="0"/>
              <w:spacing w:before="0" w:after="283"/>
              <w:jc w:val="left"/>
              <w:rPr>
                <w:sz w:val="4"/>
                <w:szCs w:val="4"/>
              </w:rPr>
            </w:pPr>
            <w:r>
              <w:rPr>
                <w:sz w:val="4"/>
                <w:szCs w:val="4"/>
              </w:rPr>
            </w:r>
          </w:p>
        </w:tc>
        <w:tc>
          <w:tcPr>
            <w:tcW w:w="1519" w:type="dxa"/>
            <w:tcBorders/>
            <w:shd w:fill="D5DBE3" w:val="clear"/>
            <w:vAlign w:val="center"/>
          </w:tcPr>
          <w:p>
            <w:pPr>
              <w:pStyle w:val="TableContents"/>
              <w:bidi w:val="0"/>
              <w:spacing w:before="0" w:after="283"/>
              <w:jc w:val="left"/>
              <w:rPr>
                <w:sz w:val="4"/>
                <w:szCs w:val="4"/>
              </w:rPr>
            </w:pPr>
            <w:r>
              <w:rPr>
                <w:sz w:val="4"/>
                <w:szCs w:val="4"/>
              </w:rPr>
            </w:r>
          </w:p>
        </w:tc>
        <w:tc>
          <w:tcPr>
            <w:tcW w:w="35" w:type="dxa"/>
            <w:tcBorders/>
            <w:shd w:fill="D5DBE3" w:val="clear"/>
            <w:vAlign w:val="center"/>
          </w:tcPr>
          <w:p>
            <w:pPr>
              <w:pStyle w:val="TableContents"/>
              <w:bidi w:val="0"/>
              <w:spacing w:before="0" w:after="283"/>
              <w:jc w:val="left"/>
              <w:rPr>
                <w:sz w:val="4"/>
                <w:szCs w:val="4"/>
              </w:rPr>
            </w:pPr>
            <w:r>
              <w:rPr>
                <w:sz w:val="4"/>
                <w:szCs w:val="4"/>
              </w:rPr>
            </w:r>
          </w:p>
        </w:tc>
        <w:tc>
          <w:tcPr>
            <w:tcW w:w="185" w:type="dxa"/>
            <w:tcBorders/>
            <w:shd w:fill="D5DBE3" w:val="clear"/>
            <w:vAlign w:val="center"/>
          </w:tcPr>
          <w:p>
            <w:pPr>
              <w:pStyle w:val="TableContents"/>
              <w:bidi w:val="0"/>
              <w:spacing w:before="0" w:after="283"/>
              <w:jc w:val="left"/>
              <w:rPr/>
            </w:pPr>
            <w:r>
              <w:rPr/>
              <w:t>  </w:t>
            </w:r>
          </w:p>
        </w:tc>
        <w:tc>
          <w:tcPr>
            <w:tcW w:w="92" w:type="dxa"/>
            <w:tcBorders/>
            <w:shd w:fill="D5DBE3" w:val="clear"/>
            <w:vAlign w:val="center"/>
          </w:tcPr>
          <w:p>
            <w:pPr>
              <w:pStyle w:val="TableContents"/>
              <w:bidi w:val="0"/>
              <w:spacing w:before="0" w:after="283"/>
              <w:jc w:val="left"/>
              <w:rPr/>
            </w:pPr>
            <w:r>
              <w:rPr/>
              <w:t> </w:t>
            </w:r>
          </w:p>
        </w:tc>
        <w:tc>
          <w:tcPr>
            <w:tcW w:w="92" w:type="dxa"/>
            <w:tcBorders/>
            <w:shd w:fill="D5DBE3" w:val="clear"/>
            <w:vAlign w:val="center"/>
          </w:tcPr>
          <w:p>
            <w:pPr>
              <w:pStyle w:val="TableContents"/>
              <w:bidi w:val="0"/>
              <w:spacing w:before="0" w:after="283"/>
              <w:jc w:val="left"/>
              <w:rPr>
                <w:sz w:val="4"/>
                <w:szCs w:val="4"/>
              </w:rPr>
            </w:pPr>
            <w:r>
              <w:rPr>
                <w:sz w:val="4"/>
                <w:szCs w:val="4"/>
              </w:rPr>
            </w:r>
          </w:p>
        </w:tc>
        <w:tc>
          <w:tcPr>
            <w:tcW w:w="681" w:type="dxa"/>
            <w:tcBorders/>
            <w:shd w:fill="D5DBE3" w:val="clear"/>
            <w:vAlign w:val="center"/>
          </w:tcPr>
          <w:p>
            <w:pPr>
              <w:pStyle w:val="TableContents"/>
              <w:bidi w:val="0"/>
              <w:spacing w:before="0" w:after="283"/>
              <w:jc w:val="left"/>
              <w:rPr>
                <w:sz w:val="4"/>
                <w:szCs w:val="4"/>
              </w:rPr>
            </w:pPr>
            <w:r>
              <w:rPr>
                <w:sz w:val="4"/>
                <w:szCs w:val="4"/>
              </w:rPr>
            </w:r>
          </w:p>
        </w:tc>
        <w:tc>
          <w:tcPr>
            <w:tcW w:w="64" w:type="dxa"/>
            <w:tcBorders/>
            <w:shd w:fill="D5DBE3" w:val="cle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BlackRock, Inc.(1)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1519" w:type="dxa"/>
            <w:tcBorders>
              <w:bottom w:val="single" w:sz="6" w:space="0" w:color="000000"/>
            </w:tcBorders>
            <w:tcMar>
              <w:bottom w:w="60" w:type="dxa"/>
            </w:tcMar>
            <w:vAlign w:val="center"/>
          </w:tcPr>
          <w:p>
            <w:pPr>
              <w:pStyle w:val="TableContents"/>
              <w:bidi w:val="0"/>
              <w:spacing w:before="0" w:after="283"/>
              <w:jc w:val="right"/>
              <w:rPr/>
            </w:pPr>
            <w:r>
              <w:rPr/>
              <w:t>4,106,184</w:t>
            </w:r>
          </w:p>
        </w:tc>
        <w:tc>
          <w:tcPr>
            <w:tcW w:w="35"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681" w:type="dxa"/>
            <w:tcBorders>
              <w:bottom w:val="single" w:sz="6" w:space="0" w:color="000000"/>
            </w:tcBorders>
            <w:tcMar>
              <w:bottom w:w="60" w:type="dxa"/>
            </w:tcMar>
            <w:vAlign w:val="center"/>
          </w:tcPr>
          <w:p>
            <w:pPr>
              <w:pStyle w:val="TableContents"/>
              <w:bidi w:val="0"/>
              <w:spacing w:before="0" w:after="283"/>
              <w:jc w:val="right"/>
              <w:rPr/>
            </w:pPr>
            <w:r>
              <w:rPr/>
              <w:t>14.9</w:t>
            </w:r>
          </w:p>
        </w:tc>
        <w:tc>
          <w:tcPr>
            <w:tcW w:w="6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PJAM IBP Holdings, Inc.(2)</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1519" w:type="dxa"/>
            <w:tcBorders>
              <w:bottom w:val="single" w:sz="6" w:space="0" w:color="000000"/>
            </w:tcBorders>
            <w:tcMar>
              <w:bottom w:w="60" w:type="dxa"/>
            </w:tcMar>
            <w:vAlign w:val="center"/>
          </w:tcPr>
          <w:p>
            <w:pPr>
              <w:pStyle w:val="TableContents"/>
              <w:bidi w:val="0"/>
              <w:spacing w:before="0" w:after="283"/>
              <w:jc w:val="right"/>
              <w:rPr/>
            </w:pPr>
            <w:r>
              <w:rPr/>
              <w:t>2,677,819</w:t>
            </w:r>
          </w:p>
        </w:tc>
        <w:tc>
          <w:tcPr>
            <w:tcW w:w="35"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681" w:type="dxa"/>
            <w:tcBorders>
              <w:bottom w:val="single" w:sz="6" w:space="0" w:color="000000"/>
            </w:tcBorders>
            <w:tcMar>
              <w:bottom w:w="60" w:type="dxa"/>
            </w:tcMar>
            <w:vAlign w:val="center"/>
          </w:tcPr>
          <w:p>
            <w:pPr>
              <w:pStyle w:val="TableContents"/>
              <w:bidi w:val="0"/>
              <w:spacing w:before="0" w:after="283"/>
              <w:jc w:val="right"/>
              <w:rPr/>
            </w:pPr>
            <w:r>
              <w:rPr/>
              <w:t>9.7</w:t>
            </w:r>
          </w:p>
        </w:tc>
        <w:tc>
          <w:tcPr>
            <w:tcW w:w="6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The Vanguard Group, Inc.(3)</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1519" w:type="dxa"/>
            <w:tcBorders>
              <w:bottom w:val="single" w:sz="6" w:space="0" w:color="000000"/>
            </w:tcBorders>
            <w:tcMar>
              <w:bottom w:w="60" w:type="dxa"/>
            </w:tcMar>
            <w:vAlign w:val="center"/>
          </w:tcPr>
          <w:p>
            <w:pPr>
              <w:pStyle w:val="TableContents"/>
              <w:bidi w:val="0"/>
              <w:spacing w:before="0" w:after="283"/>
              <w:jc w:val="right"/>
              <w:rPr/>
            </w:pPr>
            <w:r>
              <w:rPr/>
              <w:t>2,622,555</w:t>
            </w:r>
          </w:p>
        </w:tc>
        <w:tc>
          <w:tcPr>
            <w:tcW w:w="35"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681" w:type="dxa"/>
            <w:tcBorders>
              <w:bottom w:val="single" w:sz="6" w:space="0" w:color="000000"/>
            </w:tcBorders>
            <w:tcMar>
              <w:bottom w:w="60" w:type="dxa"/>
            </w:tcMar>
            <w:vAlign w:val="center"/>
          </w:tcPr>
          <w:p>
            <w:pPr>
              <w:pStyle w:val="TableContents"/>
              <w:bidi w:val="0"/>
              <w:spacing w:before="0" w:after="283"/>
              <w:jc w:val="right"/>
              <w:rPr/>
            </w:pPr>
            <w:r>
              <w:rPr/>
              <w:t>9.5</w:t>
            </w:r>
          </w:p>
        </w:tc>
        <w:tc>
          <w:tcPr>
            <w:tcW w:w="6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Installed Building Systems, Inc.(2)</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1519" w:type="dxa"/>
            <w:tcBorders>
              <w:bottom w:val="single" w:sz="6" w:space="0" w:color="000000"/>
            </w:tcBorders>
            <w:tcMar>
              <w:bottom w:w="60" w:type="dxa"/>
            </w:tcMar>
            <w:vAlign w:val="center"/>
          </w:tcPr>
          <w:p>
            <w:pPr>
              <w:pStyle w:val="TableContents"/>
              <w:bidi w:val="0"/>
              <w:spacing w:before="0" w:after="283"/>
              <w:jc w:val="right"/>
              <w:rPr/>
            </w:pPr>
            <w:r>
              <w:rPr/>
              <w:t>1,416,194</w:t>
            </w:r>
          </w:p>
        </w:tc>
        <w:tc>
          <w:tcPr>
            <w:tcW w:w="35"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681" w:type="dxa"/>
            <w:tcBorders>
              <w:bottom w:val="single" w:sz="6" w:space="0" w:color="000000"/>
            </w:tcBorders>
            <w:tcMar>
              <w:bottom w:w="60" w:type="dxa"/>
            </w:tcMar>
            <w:vAlign w:val="center"/>
          </w:tcPr>
          <w:p>
            <w:pPr>
              <w:pStyle w:val="TableContents"/>
              <w:bidi w:val="0"/>
              <w:spacing w:before="0" w:after="283"/>
              <w:jc w:val="right"/>
              <w:rPr/>
            </w:pPr>
            <w:r>
              <w:rPr/>
              <w:t>5.1</w:t>
            </w:r>
          </w:p>
        </w:tc>
        <w:tc>
          <w:tcPr>
            <w:tcW w:w="6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5345" w:type="dxa"/>
            <w:tcBorders/>
            <w:shd w:fill="D5DBE3" w:val="clear"/>
            <w:vAlign w:val="center"/>
          </w:tcPr>
          <w:p>
            <w:pPr>
              <w:pStyle w:val="TableContents"/>
              <w:bidi w:val="0"/>
              <w:spacing w:before="0" w:after="283"/>
              <w:jc w:val="left"/>
              <w:rPr>
                <w:sz w:val="4"/>
                <w:szCs w:val="4"/>
              </w:rPr>
            </w:pPr>
            <w:r>
              <w:rPr>
                <w:sz w:val="4"/>
                <w:szCs w:val="4"/>
              </w:rPr>
            </w:r>
          </w:p>
        </w:tc>
        <w:tc>
          <w:tcPr>
            <w:tcW w:w="1858" w:type="dxa"/>
            <w:gridSpan w:val="5"/>
            <w:tcBorders/>
            <w:shd w:fill="D5DBE3" w:val="clear"/>
            <w:vAlign w:val="center"/>
          </w:tcPr>
          <w:p>
            <w:pPr>
              <w:pStyle w:val="TableContents"/>
              <w:bidi w:val="0"/>
              <w:spacing w:before="0" w:after="283"/>
              <w:jc w:val="left"/>
              <w:rPr>
                <w:sz w:val="4"/>
                <w:szCs w:val="4"/>
              </w:rPr>
            </w:pPr>
            <w:r>
              <w:rPr>
                <w:sz w:val="4"/>
                <w:szCs w:val="4"/>
              </w:rPr>
            </w:r>
          </w:p>
        </w:tc>
        <w:tc>
          <w:tcPr>
            <w:tcW w:w="1114" w:type="dxa"/>
            <w:gridSpan w:val="5"/>
            <w:tcBorders/>
            <w:shd w:fill="D5DBE3" w:val="clear"/>
            <w:vAlign w:val="center"/>
          </w:tcPr>
          <w:p>
            <w:pPr>
              <w:pStyle w:val="TableContents"/>
              <w:bidi w:val="0"/>
              <w:spacing w:before="0" w:after="283"/>
              <w:jc w:val="left"/>
              <w:rPr>
                <w:sz w:val="4"/>
                <w:szCs w:val="4"/>
              </w:rPr>
            </w:pPr>
            <w:r>
              <w:rPr>
                <w:sz w:val="4"/>
                <w:szCs w:val="4"/>
              </w:rPr>
            </w:r>
          </w:p>
        </w:tc>
      </w:tr>
      <w:tr>
        <w:trPr/>
        <w:tc>
          <w:tcPr>
            <w:tcW w:w="5345" w:type="dxa"/>
            <w:tcBorders/>
            <w:shd w:fill="D5DBE3" w:val="clear"/>
            <w:vAlign w:val="center"/>
          </w:tcPr>
          <w:p>
            <w:pPr>
              <w:pStyle w:val="TableContents"/>
              <w:bidi w:val="0"/>
              <w:spacing w:before="0" w:after="0"/>
              <w:jc w:val="left"/>
              <w:rPr>
                <w:color w:val="1F295C"/>
                <w:spacing w:val="0"/>
              </w:rPr>
            </w:pPr>
            <w:r>
              <w:rPr>
                <w:color w:val="1F295C"/>
                <w:spacing w:val="0"/>
              </w:rPr>
              <w:t> </w:t>
            </w:r>
            <w:r>
              <w:rPr>
                <w:rFonts w:ascii="arial" w:hAnsi="arial"/>
                <w:b/>
                <w:color w:val="1F295C"/>
                <w:spacing w:val="0"/>
                <w:sz w:val="20"/>
              </w:rPr>
              <w:t>Directors and Named Executive Officers:</w:t>
            </w:r>
          </w:p>
        </w:tc>
        <w:tc>
          <w:tcPr>
            <w:tcW w:w="120" w:type="dxa"/>
            <w:tcBorders/>
            <w:shd w:fill="D5DBE3" w:val="clear"/>
            <w:vAlign w:val="center"/>
          </w:tcPr>
          <w:p>
            <w:pPr>
              <w:pStyle w:val="TableContents"/>
              <w:bidi w:val="0"/>
              <w:spacing w:before="0" w:after="283"/>
              <w:jc w:val="left"/>
              <w:rPr/>
            </w:pPr>
            <w:r>
              <w:rPr/>
              <w:t>  </w:t>
            </w:r>
          </w:p>
        </w:tc>
        <w:tc>
          <w:tcPr>
            <w:tcW w:w="92" w:type="dxa"/>
            <w:tcBorders/>
            <w:shd w:fill="D5DBE3" w:val="clear"/>
            <w:vAlign w:val="center"/>
          </w:tcPr>
          <w:p>
            <w:pPr>
              <w:pStyle w:val="TableContents"/>
              <w:bidi w:val="0"/>
              <w:spacing w:before="0" w:after="283"/>
              <w:jc w:val="left"/>
              <w:rPr/>
            </w:pPr>
            <w:r>
              <w:rPr/>
              <w:t> </w:t>
            </w:r>
          </w:p>
        </w:tc>
        <w:tc>
          <w:tcPr>
            <w:tcW w:w="92" w:type="dxa"/>
            <w:tcBorders/>
            <w:shd w:fill="D5DBE3" w:val="clear"/>
            <w:vAlign w:val="center"/>
          </w:tcPr>
          <w:p>
            <w:pPr>
              <w:pStyle w:val="TableContents"/>
              <w:bidi w:val="0"/>
              <w:spacing w:before="0" w:after="283"/>
              <w:jc w:val="left"/>
              <w:rPr>
                <w:sz w:val="4"/>
                <w:szCs w:val="4"/>
              </w:rPr>
            </w:pPr>
            <w:r>
              <w:rPr>
                <w:sz w:val="4"/>
                <w:szCs w:val="4"/>
              </w:rPr>
            </w:r>
          </w:p>
        </w:tc>
        <w:tc>
          <w:tcPr>
            <w:tcW w:w="1519" w:type="dxa"/>
            <w:tcBorders/>
            <w:shd w:fill="D5DBE3" w:val="clear"/>
            <w:vAlign w:val="center"/>
          </w:tcPr>
          <w:p>
            <w:pPr>
              <w:pStyle w:val="TableContents"/>
              <w:bidi w:val="0"/>
              <w:spacing w:before="0" w:after="283"/>
              <w:jc w:val="left"/>
              <w:rPr>
                <w:sz w:val="4"/>
                <w:szCs w:val="4"/>
              </w:rPr>
            </w:pPr>
            <w:r>
              <w:rPr>
                <w:sz w:val="4"/>
                <w:szCs w:val="4"/>
              </w:rPr>
            </w:r>
          </w:p>
        </w:tc>
        <w:tc>
          <w:tcPr>
            <w:tcW w:w="35" w:type="dxa"/>
            <w:tcBorders/>
            <w:shd w:fill="D5DBE3" w:val="clear"/>
            <w:vAlign w:val="center"/>
          </w:tcPr>
          <w:p>
            <w:pPr>
              <w:pStyle w:val="TableContents"/>
              <w:bidi w:val="0"/>
              <w:spacing w:before="0" w:after="283"/>
              <w:jc w:val="left"/>
              <w:rPr>
                <w:sz w:val="4"/>
                <w:szCs w:val="4"/>
              </w:rPr>
            </w:pPr>
            <w:r>
              <w:rPr>
                <w:sz w:val="4"/>
                <w:szCs w:val="4"/>
              </w:rPr>
            </w:r>
          </w:p>
        </w:tc>
        <w:tc>
          <w:tcPr>
            <w:tcW w:w="185" w:type="dxa"/>
            <w:tcBorders/>
            <w:shd w:fill="D5DBE3" w:val="clear"/>
            <w:vAlign w:val="center"/>
          </w:tcPr>
          <w:p>
            <w:pPr>
              <w:pStyle w:val="TableContents"/>
              <w:bidi w:val="0"/>
              <w:spacing w:before="0" w:after="283"/>
              <w:jc w:val="left"/>
              <w:rPr/>
            </w:pPr>
            <w:r>
              <w:rPr/>
              <w:t>  </w:t>
            </w:r>
          </w:p>
        </w:tc>
        <w:tc>
          <w:tcPr>
            <w:tcW w:w="92" w:type="dxa"/>
            <w:tcBorders/>
            <w:shd w:fill="D5DBE3" w:val="clear"/>
            <w:vAlign w:val="center"/>
          </w:tcPr>
          <w:p>
            <w:pPr>
              <w:pStyle w:val="TableContents"/>
              <w:bidi w:val="0"/>
              <w:spacing w:before="0" w:after="283"/>
              <w:jc w:val="left"/>
              <w:rPr/>
            </w:pPr>
            <w:r>
              <w:rPr/>
              <w:t> </w:t>
            </w:r>
          </w:p>
        </w:tc>
        <w:tc>
          <w:tcPr>
            <w:tcW w:w="92" w:type="dxa"/>
            <w:tcBorders/>
            <w:shd w:fill="D5DBE3" w:val="clear"/>
            <w:vAlign w:val="center"/>
          </w:tcPr>
          <w:p>
            <w:pPr>
              <w:pStyle w:val="TableContents"/>
              <w:bidi w:val="0"/>
              <w:spacing w:before="0" w:after="283"/>
              <w:jc w:val="left"/>
              <w:rPr>
                <w:sz w:val="4"/>
                <w:szCs w:val="4"/>
              </w:rPr>
            </w:pPr>
            <w:r>
              <w:rPr>
                <w:sz w:val="4"/>
                <w:szCs w:val="4"/>
              </w:rPr>
            </w:r>
          </w:p>
        </w:tc>
        <w:tc>
          <w:tcPr>
            <w:tcW w:w="681" w:type="dxa"/>
            <w:tcBorders/>
            <w:shd w:fill="D5DBE3" w:val="clear"/>
            <w:vAlign w:val="center"/>
          </w:tcPr>
          <w:p>
            <w:pPr>
              <w:pStyle w:val="TableContents"/>
              <w:bidi w:val="0"/>
              <w:spacing w:before="0" w:after="283"/>
              <w:jc w:val="left"/>
              <w:rPr>
                <w:sz w:val="4"/>
                <w:szCs w:val="4"/>
              </w:rPr>
            </w:pPr>
            <w:r>
              <w:rPr>
                <w:sz w:val="4"/>
                <w:szCs w:val="4"/>
              </w:rPr>
            </w:r>
          </w:p>
        </w:tc>
        <w:tc>
          <w:tcPr>
            <w:tcW w:w="64" w:type="dxa"/>
            <w:tcBorders/>
            <w:shd w:fill="D5DBE3" w:val="cle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Margot L. Carter(4)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1519" w:type="dxa"/>
            <w:tcBorders>
              <w:bottom w:val="single" w:sz="6" w:space="0" w:color="000000"/>
            </w:tcBorders>
            <w:tcMar>
              <w:bottom w:w="60" w:type="dxa"/>
            </w:tcMar>
            <w:vAlign w:val="center"/>
          </w:tcPr>
          <w:p>
            <w:pPr>
              <w:pStyle w:val="TableContents"/>
              <w:bidi w:val="0"/>
              <w:spacing w:before="0" w:after="283"/>
              <w:jc w:val="right"/>
              <w:rPr/>
            </w:pPr>
            <w:r>
              <w:rPr/>
              <w:t>8,638</w:t>
            </w:r>
          </w:p>
        </w:tc>
        <w:tc>
          <w:tcPr>
            <w:tcW w:w="35"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681" w:type="dxa"/>
            <w:tcBorders>
              <w:bottom w:val="single" w:sz="6" w:space="0" w:color="000000"/>
            </w:tcBorders>
            <w:tcMar>
              <w:bottom w:w="60" w:type="dxa"/>
            </w:tcMar>
            <w:vAlign w:val="center"/>
          </w:tcPr>
          <w:p>
            <w:pPr>
              <w:pStyle w:val="TableContents"/>
              <w:bidi w:val="0"/>
              <w:spacing w:before="0" w:after="283"/>
              <w:jc w:val="center"/>
              <w:rPr/>
            </w:pPr>
            <w:r>
              <w:rPr/>
              <w:t>*</w:t>
            </w:r>
          </w:p>
        </w:tc>
        <w:tc>
          <w:tcPr>
            <w:tcW w:w="6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Jeffrey W. Edwards(2)(5)</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1519" w:type="dxa"/>
            <w:tcBorders>
              <w:bottom w:val="single" w:sz="6" w:space="0" w:color="000000"/>
            </w:tcBorders>
            <w:tcMar>
              <w:bottom w:w="60" w:type="dxa"/>
            </w:tcMar>
            <w:vAlign w:val="center"/>
          </w:tcPr>
          <w:p>
            <w:pPr>
              <w:pStyle w:val="TableContents"/>
              <w:bidi w:val="0"/>
              <w:spacing w:before="0" w:after="283"/>
              <w:jc w:val="right"/>
              <w:rPr/>
            </w:pPr>
            <w:r>
              <w:rPr/>
              <w:t>4,281,760</w:t>
            </w:r>
          </w:p>
        </w:tc>
        <w:tc>
          <w:tcPr>
            <w:tcW w:w="35"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681" w:type="dxa"/>
            <w:tcBorders>
              <w:bottom w:val="single" w:sz="6" w:space="0" w:color="000000"/>
            </w:tcBorders>
            <w:tcMar>
              <w:bottom w:w="60" w:type="dxa"/>
            </w:tcMar>
            <w:vAlign w:val="center"/>
          </w:tcPr>
          <w:p>
            <w:pPr>
              <w:pStyle w:val="TableContents"/>
              <w:bidi w:val="0"/>
              <w:spacing w:before="0" w:after="283"/>
              <w:jc w:val="right"/>
              <w:rPr/>
            </w:pPr>
            <w:r>
              <w:rPr/>
              <w:t>15.5</w:t>
            </w:r>
          </w:p>
        </w:tc>
        <w:tc>
          <w:tcPr>
            <w:tcW w:w="6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W. Jeffrey Hire(6)</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1519" w:type="dxa"/>
            <w:tcBorders>
              <w:bottom w:val="single" w:sz="6" w:space="0" w:color="000000"/>
            </w:tcBorders>
            <w:tcMar>
              <w:bottom w:w="60" w:type="dxa"/>
            </w:tcMar>
            <w:vAlign w:val="center"/>
          </w:tcPr>
          <w:p>
            <w:pPr>
              <w:pStyle w:val="TableContents"/>
              <w:bidi w:val="0"/>
              <w:spacing w:before="0" w:after="283"/>
              <w:jc w:val="right"/>
              <w:rPr/>
            </w:pPr>
            <w:r>
              <w:rPr/>
              <w:t>45,406</w:t>
            </w:r>
          </w:p>
        </w:tc>
        <w:tc>
          <w:tcPr>
            <w:tcW w:w="35"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681" w:type="dxa"/>
            <w:tcBorders>
              <w:bottom w:val="single" w:sz="6" w:space="0" w:color="000000"/>
            </w:tcBorders>
            <w:tcMar>
              <w:bottom w:w="60" w:type="dxa"/>
            </w:tcMar>
            <w:vAlign w:val="center"/>
          </w:tcPr>
          <w:p>
            <w:pPr>
              <w:pStyle w:val="TableContents"/>
              <w:bidi w:val="0"/>
              <w:spacing w:before="0" w:after="283"/>
              <w:jc w:val="center"/>
              <w:rPr/>
            </w:pPr>
            <w:r>
              <w:rPr/>
              <w:t>*</w:t>
            </w:r>
          </w:p>
        </w:tc>
        <w:tc>
          <w:tcPr>
            <w:tcW w:w="6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Lawrence A. Hilsheimer(4)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1519" w:type="dxa"/>
            <w:tcBorders>
              <w:bottom w:val="single" w:sz="6" w:space="0" w:color="000000"/>
            </w:tcBorders>
            <w:tcMar>
              <w:bottom w:w="60" w:type="dxa"/>
            </w:tcMar>
            <w:vAlign w:val="center"/>
          </w:tcPr>
          <w:p>
            <w:pPr>
              <w:pStyle w:val="TableContents"/>
              <w:bidi w:val="0"/>
              <w:spacing w:before="0" w:after="283"/>
              <w:jc w:val="right"/>
              <w:rPr/>
            </w:pPr>
            <w:r>
              <w:rPr/>
              <w:t>27,248</w:t>
            </w:r>
          </w:p>
        </w:tc>
        <w:tc>
          <w:tcPr>
            <w:tcW w:w="35"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681" w:type="dxa"/>
            <w:tcBorders>
              <w:bottom w:val="single" w:sz="6" w:space="0" w:color="000000"/>
            </w:tcBorders>
            <w:tcMar>
              <w:bottom w:w="60" w:type="dxa"/>
            </w:tcMar>
            <w:vAlign w:val="center"/>
          </w:tcPr>
          <w:p>
            <w:pPr>
              <w:pStyle w:val="TableContents"/>
              <w:bidi w:val="0"/>
              <w:spacing w:before="0" w:after="283"/>
              <w:jc w:val="center"/>
              <w:rPr/>
            </w:pPr>
            <w:r>
              <w:rPr/>
              <w:t>*</w:t>
            </w:r>
          </w:p>
        </w:tc>
        <w:tc>
          <w:tcPr>
            <w:tcW w:w="6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Janet E. Jackson(4)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1519" w:type="dxa"/>
            <w:tcBorders>
              <w:bottom w:val="single" w:sz="6" w:space="0" w:color="000000"/>
            </w:tcBorders>
            <w:tcMar>
              <w:bottom w:w="60" w:type="dxa"/>
            </w:tcMar>
            <w:vAlign w:val="center"/>
          </w:tcPr>
          <w:p>
            <w:pPr>
              <w:pStyle w:val="TableContents"/>
              <w:bidi w:val="0"/>
              <w:spacing w:before="0" w:after="283"/>
              <w:jc w:val="right"/>
              <w:rPr/>
            </w:pPr>
            <w:r>
              <w:rPr/>
              <w:t>7,567</w:t>
            </w:r>
          </w:p>
        </w:tc>
        <w:tc>
          <w:tcPr>
            <w:tcW w:w="35"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681" w:type="dxa"/>
            <w:tcBorders>
              <w:bottom w:val="single" w:sz="6" w:space="0" w:color="000000"/>
            </w:tcBorders>
            <w:tcMar>
              <w:bottom w:w="60" w:type="dxa"/>
            </w:tcMar>
            <w:vAlign w:val="center"/>
          </w:tcPr>
          <w:p>
            <w:pPr>
              <w:pStyle w:val="TableContents"/>
              <w:bidi w:val="0"/>
              <w:spacing w:before="0" w:after="283"/>
              <w:jc w:val="center"/>
              <w:rPr/>
            </w:pPr>
            <w:r>
              <w:rPr/>
              <w:t>*</w:t>
            </w:r>
          </w:p>
        </w:tc>
        <w:tc>
          <w:tcPr>
            <w:tcW w:w="6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David R. Meuse(4)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1519" w:type="dxa"/>
            <w:tcBorders>
              <w:bottom w:val="single" w:sz="6" w:space="0" w:color="000000"/>
            </w:tcBorders>
            <w:tcMar>
              <w:bottom w:w="60" w:type="dxa"/>
            </w:tcMar>
            <w:vAlign w:val="center"/>
          </w:tcPr>
          <w:p>
            <w:pPr>
              <w:pStyle w:val="TableContents"/>
              <w:bidi w:val="0"/>
              <w:spacing w:before="0" w:after="283"/>
              <w:jc w:val="right"/>
              <w:rPr/>
            </w:pPr>
            <w:r>
              <w:rPr/>
              <w:t>4,972</w:t>
            </w:r>
          </w:p>
        </w:tc>
        <w:tc>
          <w:tcPr>
            <w:tcW w:w="35"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681" w:type="dxa"/>
            <w:tcBorders>
              <w:bottom w:val="single" w:sz="6" w:space="0" w:color="000000"/>
            </w:tcBorders>
            <w:tcMar>
              <w:bottom w:w="60" w:type="dxa"/>
            </w:tcMar>
            <w:vAlign w:val="center"/>
          </w:tcPr>
          <w:p>
            <w:pPr>
              <w:pStyle w:val="TableContents"/>
              <w:bidi w:val="0"/>
              <w:spacing w:before="0" w:after="283"/>
              <w:jc w:val="center"/>
              <w:rPr/>
            </w:pPr>
            <w:r>
              <w:rPr/>
              <w:t>*</w:t>
            </w:r>
          </w:p>
        </w:tc>
        <w:tc>
          <w:tcPr>
            <w:tcW w:w="6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Michael T. Miller(7)</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1519" w:type="dxa"/>
            <w:tcBorders>
              <w:bottom w:val="single" w:sz="6" w:space="0" w:color="000000"/>
            </w:tcBorders>
            <w:tcMar>
              <w:bottom w:w="60" w:type="dxa"/>
            </w:tcMar>
            <w:vAlign w:val="center"/>
          </w:tcPr>
          <w:p>
            <w:pPr>
              <w:pStyle w:val="TableContents"/>
              <w:bidi w:val="0"/>
              <w:spacing w:before="0" w:after="283"/>
              <w:jc w:val="right"/>
              <w:rPr/>
            </w:pPr>
            <w:r>
              <w:rPr/>
              <w:t>61,175</w:t>
            </w:r>
          </w:p>
        </w:tc>
        <w:tc>
          <w:tcPr>
            <w:tcW w:w="35"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681" w:type="dxa"/>
            <w:tcBorders>
              <w:bottom w:val="single" w:sz="6" w:space="0" w:color="000000"/>
            </w:tcBorders>
            <w:tcMar>
              <w:bottom w:w="60" w:type="dxa"/>
            </w:tcMar>
            <w:vAlign w:val="center"/>
          </w:tcPr>
          <w:p>
            <w:pPr>
              <w:pStyle w:val="TableContents"/>
              <w:bidi w:val="0"/>
              <w:spacing w:before="0" w:after="283"/>
              <w:jc w:val="center"/>
              <w:rPr/>
            </w:pPr>
            <w:r>
              <w:rPr/>
              <w:t>*</w:t>
            </w:r>
          </w:p>
        </w:tc>
        <w:tc>
          <w:tcPr>
            <w:tcW w:w="6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Marchelle E. Moore(4)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1519" w:type="dxa"/>
            <w:tcBorders>
              <w:bottom w:val="single" w:sz="6" w:space="0" w:color="000000"/>
            </w:tcBorders>
            <w:tcMar>
              <w:bottom w:w="60" w:type="dxa"/>
            </w:tcMar>
            <w:vAlign w:val="center"/>
          </w:tcPr>
          <w:p>
            <w:pPr>
              <w:pStyle w:val="TableContents"/>
              <w:bidi w:val="0"/>
              <w:spacing w:before="0" w:after="283"/>
              <w:jc w:val="right"/>
              <w:rPr/>
            </w:pPr>
            <w:r>
              <w:rPr/>
              <w:t>1,532</w:t>
            </w:r>
          </w:p>
        </w:tc>
        <w:tc>
          <w:tcPr>
            <w:tcW w:w="35"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681" w:type="dxa"/>
            <w:tcBorders>
              <w:bottom w:val="single" w:sz="6" w:space="0" w:color="000000"/>
            </w:tcBorders>
            <w:tcMar>
              <w:bottom w:w="60" w:type="dxa"/>
            </w:tcMar>
            <w:vAlign w:val="center"/>
          </w:tcPr>
          <w:p>
            <w:pPr>
              <w:pStyle w:val="TableContents"/>
              <w:bidi w:val="0"/>
              <w:spacing w:before="0" w:after="283"/>
              <w:jc w:val="center"/>
              <w:rPr/>
            </w:pPr>
            <w:r>
              <w:rPr/>
              <w:t>*</w:t>
            </w:r>
          </w:p>
        </w:tc>
        <w:tc>
          <w:tcPr>
            <w:tcW w:w="6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Jason R. Niswonger(8)</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1519" w:type="dxa"/>
            <w:tcBorders>
              <w:bottom w:val="single" w:sz="6" w:space="0" w:color="000000"/>
            </w:tcBorders>
            <w:tcMar>
              <w:bottom w:w="60" w:type="dxa"/>
            </w:tcMar>
            <w:vAlign w:val="center"/>
          </w:tcPr>
          <w:p>
            <w:pPr>
              <w:pStyle w:val="TableContents"/>
              <w:bidi w:val="0"/>
              <w:spacing w:before="0" w:after="283"/>
              <w:jc w:val="right"/>
              <w:rPr/>
            </w:pPr>
            <w:r>
              <w:rPr/>
              <w:t>16,072</w:t>
            </w:r>
          </w:p>
        </w:tc>
        <w:tc>
          <w:tcPr>
            <w:tcW w:w="35"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681" w:type="dxa"/>
            <w:tcBorders>
              <w:bottom w:val="single" w:sz="6" w:space="0" w:color="000000"/>
            </w:tcBorders>
            <w:tcMar>
              <w:bottom w:w="60" w:type="dxa"/>
            </w:tcMar>
            <w:vAlign w:val="center"/>
          </w:tcPr>
          <w:p>
            <w:pPr>
              <w:pStyle w:val="TableContents"/>
              <w:bidi w:val="0"/>
              <w:spacing w:before="0" w:after="283"/>
              <w:jc w:val="center"/>
              <w:rPr/>
            </w:pPr>
            <w:r>
              <w:rPr/>
              <w:t>*</w:t>
            </w:r>
          </w:p>
        </w:tc>
        <w:tc>
          <w:tcPr>
            <w:tcW w:w="6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Robert H. Schottenstein(4)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1519" w:type="dxa"/>
            <w:tcBorders>
              <w:bottom w:val="single" w:sz="6" w:space="0" w:color="000000"/>
            </w:tcBorders>
            <w:tcMar>
              <w:bottom w:w="60" w:type="dxa"/>
            </w:tcMar>
            <w:vAlign w:val="center"/>
          </w:tcPr>
          <w:p>
            <w:pPr>
              <w:pStyle w:val="TableContents"/>
              <w:bidi w:val="0"/>
              <w:spacing w:before="0" w:after="283"/>
              <w:jc w:val="right"/>
              <w:rPr/>
            </w:pPr>
            <w:r>
              <w:rPr/>
              <w:t>2,502</w:t>
            </w:r>
          </w:p>
        </w:tc>
        <w:tc>
          <w:tcPr>
            <w:tcW w:w="35"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681" w:type="dxa"/>
            <w:tcBorders>
              <w:bottom w:val="single" w:sz="6" w:space="0" w:color="000000"/>
            </w:tcBorders>
            <w:tcMar>
              <w:bottom w:w="60" w:type="dxa"/>
            </w:tcMar>
            <w:vAlign w:val="center"/>
          </w:tcPr>
          <w:p>
            <w:pPr>
              <w:pStyle w:val="TableContents"/>
              <w:bidi w:val="0"/>
              <w:spacing w:before="0" w:after="283"/>
              <w:jc w:val="center"/>
              <w:rPr/>
            </w:pPr>
            <w:r>
              <w:rPr/>
              <w:t>*</w:t>
            </w:r>
          </w:p>
        </w:tc>
        <w:tc>
          <w:tcPr>
            <w:tcW w:w="6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Michael H. Thomas(4)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1519" w:type="dxa"/>
            <w:tcBorders>
              <w:bottom w:val="single" w:sz="6" w:space="0" w:color="000000"/>
            </w:tcBorders>
            <w:tcMar>
              <w:bottom w:w="60" w:type="dxa"/>
            </w:tcMar>
            <w:vAlign w:val="center"/>
          </w:tcPr>
          <w:p>
            <w:pPr>
              <w:pStyle w:val="TableContents"/>
              <w:bidi w:val="0"/>
              <w:spacing w:before="0" w:after="283"/>
              <w:jc w:val="right"/>
              <w:rPr/>
            </w:pPr>
            <w:r>
              <w:rPr/>
              <w:t>9,599</w:t>
            </w:r>
          </w:p>
        </w:tc>
        <w:tc>
          <w:tcPr>
            <w:tcW w:w="35"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60" w:type="dxa"/>
            </w:tcMar>
            <w:vAlign w:val="center"/>
          </w:tcPr>
          <w:p>
            <w:pPr>
              <w:pStyle w:val="TableContents"/>
              <w:bidi w:val="0"/>
              <w:spacing w:before="0" w:after="283"/>
              <w:jc w:val="left"/>
              <w:rPr/>
            </w:pPr>
            <w:r>
              <w:rPr/>
              <w:t> </w:t>
            </w:r>
          </w:p>
        </w:tc>
        <w:tc>
          <w:tcPr>
            <w:tcW w:w="681" w:type="dxa"/>
            <w:tcBorders>
              <w:bottom w:val="single" w:sz="6" w:space="0" w:color="000000"/>
            </w:tcBorders>
            <w:tcMar>
              <w:bottom w:w="60" w:type="dxa"/>
            </w:tcMar>
            <w:vAlign w:val="center"/>
          </w:tcPr>
          <w:p>
            <w:pPr>
              <w:pStyle w:val="TableContents"/>
              <w:bidi w:val="0"/>
              <w:spacing w:before="0" w:after="283"/>
              <w:jc w:val="center"/>
              <w:rPr/>
            </w:pPr>
            <w:r>
              <w:rPr/>
              <w:t>*</w:t>
            </w:r>
          </w:p>
        </w:tc>
        <w:tc>
          <w:tcPr>
            <w:tcW w:w="6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sz w:val="4"/>
                <w:szCs w:val="4"/>
              </w:rPr>
            </w:pPr>
            <w:r>
              <w:rPr>
                <w:sz w:val="4"/>
                <w:szCs w:val="4"/>
              </w:rPr>
            </w:r>
          </w:p>
        </w:tc>
        <w:tc>
          <w:tcPr>
            <w:tcW w:w="1858" w:type="dxa"/>
            <w:gridSpan w:val="5"/>
            <w:tcBorders/>
            <w:vAlign w:val="center"/>
          </w:tcPr>
          <w:p>
            <w:pPr>
              <w:pStyle w:val="TableContents"/>
              <w:bidi w:val="0"/>
              <w:spacing w:before="0" w:after="283"/>
              <w:jc w:val="left"/>
              <w:rPr>
                <w:sz w:val="4"/>
                <w:szCs w:val="4"/>
              </w:rPr>
            </w:pPr>
            <w:r>
              <w:rPr>
                <w:sz w:val="4"/>
                <w:szCs w:val="4"/>
              </w:rPr>
            </w:r>
          </w:p>
        </w:tc>
        <w:tc>
          <w:tcPr>
            <w:tcW w:w="1114" w:type="dxa"/>
            <w:gridSpan w:val="5"/>
            <w:tcBorders/>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0"/>
              <w:jc w:val="left"/>
              <w:rPr>
                <w:rFonts w:ascii="arial" w:hAnsi="arial"/>
                <w:sz w:val="20"/>
              </w:rPr>
            </w:pPr>
            <w:r>
              <w:rPr>
                <w:rFonts w:ascii="arial" w:hAnsi="arial"/>
                <w:sz w:val="20"/>
              </w:rPr>
              <w:t>Brad A. Wheeler(9)</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9" w:type="dxa"/>
            <w:tcBorders/>
            <w:vAlign w:val="center"/>
          </w:tcPr>
          <w:p>
            <w:pPr>
              <w:pStyle w:val="TableContents"/>
              <w:bidi w:val="0"/>
              <w:spacing w:before="0" w:after="283"/>
              <w:jc w:val="right"/>
              <w:rPr/>
            </w:pPr>
            <w:r>
              <w:rPr/>
              <w:t>11,922</w:t>
            </w:r>
          </w:p>
        </w:tc>
        <w:tc>
          <w:tcPr>
            <w:tcW w:w="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center"/>
              <w:rPr/>
            </w:pPr>
            <w:r>
              <w:rPr/>
              <w:t>*</w:t>
            </w:r>
          </w:p>
        </w:tc>
        <w:tc>
          <w:tcPr>
            <w:tcW w:w="64" w:type="dxa"/>
            <w:tcBorders/>
            <w:vAlign w:val="center"/>
          </w:tcPr>
          <w:p>
            <w:pPr>
              <w:pStyle w:val="TableContents"/>
              <w:bidi w:val="0"/>
              <w:spacing w:before="0" w:after="283"/>
              <w:jc w:val="left"/>
              <w:rPr>
                <w:sz w:val="4"/>
                <w:szCs w:val="4"/>
              </w:rPr>
            </w:pPr>
            <w:r>
              <w:rPr>
                <w:sz w:val="4"/>
                <w:szCs w:val="4"/>
              </w:rPr>
            </w:r>
          </w:p>
        </w:tc>
      </w:tr>
      <w:tr>
        <w:trPr/>
        <w:tc>
          <w:tcPr>
            <w:tcW w:w="5345" w:type="dxa"/>
            <w:tcBorders/>
            <w:shd w:fill="D5DBE3" w:val="clear"/>
            <w:vAlign w:val="center"/>
          </w:tcPr>
          <w:p>
            <w:pPr>
              <w:pStyle w:val="TableContents"/>
              <w:bidi w:val="0"/>
              <w:spacing w:before="0" w:after="283"/>
              <w:jc w:val="left"/>
              <w:rPr>
                <w:sz w:val="4"/>
                <w:szCs w:val="4"/>
              </w:rPr>
            </w:pPr>
            <w:r>
              <w:rPr>
                <w:sz w:val="4"/>
                <w:szCs w:val="4"/>
              </w:rPr>
            </w:r>
          </w:p>
        </w:tc>
        <w:tc>
          <w:tcPr>
            <w:tcW w:w="1858" w:type="dxa"/>
            <w:gridSpan w:val="5"/>
            <w:tcBorders/>
            <w:shd w:fill="D5DBE3" w:val="clear"/>
            <w:vAlign w:val="center"/>
          </w:tcPr>
          <w:p>
            <w:pPr>
              <w:pStyle w:val="TableContents"/>
              <w:bidi w:val="0"/>
              <w:spacing w:before="0" w:after="283"/>
              <w:jc w:val="left"/>
              <w:rPr>
                <w:sz w:val="4"/>
                <w:szCs w:val="4"/>
              </w:rPr>
            </w:pPr>
            <w:r>
              <w:rPr>
                <w:sz w:val="4"/>
                <w:szCs w:val="4"/>
              </w:rPr>
            </w:r>
          </w:p>
        </w:tc>
        <w:tc>
          <w:tcPr>
            <w:tcW w:w="1114" w:type="dxa"/>
            <w:gridSpan w:val="5"/>
            <w:tcBorders/>
            <w:shd w:fill="D5DBE3" w:val="clear"/>
            <w:vAlign w:val="center"/>
          </w:tcPr>
          <w:p>
            <w:pPr>
              <w:pStyle w:val="TableContents"/>
              <w:bidi w:val="0"/>
              <w:spacing w:before="0" w:after="283"/>
              <w:jc w:val="left"/>
              <w:rPr>
                <w:sz w:val="4"/>
                <w:szCs w:val="4"/>
              </w:rPr>
            </w:pPr>
            <w:r>
              <w:rPr>
                <w:sz w:val="4"/>
                <w:szCs w:val="4"/>
              </w:rPr>
            </w:r>
          </w:p>
        </w:tc>
      </w:tr>
      <w:tr>
        <w:trPr/>
        <w:tc>
          <w:tcPr>
            <w:tcW w:w="5345" w:type="dxa"/>
            <w:tcBorders>
              <w:bottom w:val="single" w:sz="12" w:space="0" w:color="1070B8"/>
            </w:tcBorders>
            <w:shd w:fill="D5DBE3" w:val="clear"/>
            <w:tcMar>
              <w:bottom w:w="60" w:type="dxa"/>
            </w:tcMar>
            <w:vAlign w:val="center"/>
          </w:tcPr>
          <w:p>
            <w:pPr>
              <w:pStyle w:val="TableContents"/>
              <w:bidi w:val="0"/>
              <w:spacing w:before="0" w:after="0"/>
              <w:jc w:val="left"/>
              <w:rPr>
                <w:color w:val="1F295C"/>
                <w:spacing w:val="0"/>
              </w:rPr>
            </w:pPr>
            <w:r>
              <w:rPr>
                <w:color w:val="1F295C"/>
                <w:spacing w:val="0"/>
              </w:rPr>
              <w:t> </w:t>
            </w:r>
            <w:r>
              <w:rPr>
                <w:rFonts w:ascii="arial" w:hAnsi="arial"/>
                <w:b/>
                <w:color w:val="1F295C"/>
                <w:spacing w:val="0"/>
                <w:sz w:val="20"/>
              </w:rPr>
              <w:t>Directors and Executive Officers as a Group (13 persons)</w:t>
            </w:r>
          </w:p>
        </w:tc>
        <w:tc>
          <w:tcPr>
            <w:tcW w:w="120" w:type="dxa"/>
            <w:tcBorders>
              <w:bottom w:val="single" w:sz="12" w:space="0" w:color="1070B8"/>
            </w:tcBorders>
            <w:shd w:fill="D5DBE3" w:val="clear"/>
            <w:tcMar>
              <w:bottom w:w="28" w:type="dxa"/>
            </w:tcMar>
            <w:vAlign w:val="center"/>
          </w:tcPr>
          <w:p>
            <w:pPr>
              <w:pStyle w:val="TableContents"/>
              <w:bidi w:val="0"/>
              <w:spacing w:before="0" w:after="283"/>
              <w:jc w:val="left"/>
              <w:rPr/>
            </w:pPr>
            <w:r>
              <w:rPr/>
              <w:t>  </w:t>
            </w:r>
          </w:p>
        </w:tc>
        <w:tc>
          <w:tcPr>
            <w:tcW w:w="92" w:type="dxa"/>
            <w:tcBorders>
              <w:bottom w:val="single" w:sz="12" w:space="0" w:color="1070B8"/>
            </w:tcBorders>
            <w:shd w:fill="D5DBE3" w:val="clear"/>
            <w:tcMar>
              <w:bottom w:w="28" w:type="dxa"/>
            </w:tcMar>
            <w:vAlign w:val="center"/>
          </w:tcPr>
          <w:p>
            <w:pPr>
              <w:pStyle w:val="TableContents"/>
              <w:bidi w:val="0"/>
              <w:spacing w:before="0" w:after="283"/>
              <w:jc w:val="left"/>
              <w:rPr/>
            </w:pPr>
            <w:r>
              <w:rPr/>
              <w:t> </w:t>
            </w:r>
          </w:p>
        </w:tc>
        <w:tc>
          <w:tcPr>
            <w:tcW w:w="92" w:type="dxa"/>
            <w:tcBorders>
              <w:bottom w:val="single" w:sz="12" w:space="0" w:color="1070B8"/>
            </w:tcBorders>
            <w:shd w:fill="D5DBE3" w:val="clear"/>
            <w:tcMar>
              <w:bottom w:w="60" w:type="dxa"/>
            </w:tcMar>
            <w:vAlign w:val="center"/>
          </w:tcPr>
          <w:p>
            <w:pPr>
              <w:pStyle w:val="TableContents"/>
              <w:bidi w:val="0"/>
              <w:spacing w:before="0" w:after="283"/>
              <w:jc w:val="left"/>
              <w:rPr/>
            </w:pPr>
            <w:r>
              <w:rPr/>
              <w:t> </w:t>
            </w:r>
          </w:p>
        </w:tc>
        <w:tc>
          <w:tcPr>
            <w:tcW w:w="1519" w:type="dxa"/>
            <w:tcBorders>
              <w:bottom w:val="single" w:sz="12" w:space="0" w:color="1070B8"/>
            </w:tcBorders>
            <w:shd w:fill="D5DBE3" w:val="clear"/>
            <w:tcMar>
              <w:bottom w:w="60" w:type="dxa"/>
            </w:tcMar>
            <w:vAlign w:val="center"/>
          </w:tcPr>
          <w:p>
            <w:pPr>
              <w:pStyle w:val="TableContents"/>
              <w:bidi w:val="0"/>
              <w:spacing w:before="0" w:after="283"/>
              <w:jc w:val="right"/>
              <w:rPr/>
            </w:pPr>
            <w:r>
              <w:rPr/>
              <w:t>4,486,654</w:t>
            </w:r>
          </w:p>
        </w:tc>
        <w:tc>
          <w:tcPr>
            <w:tcW w:w="35" w:type="dxa"/>
            <w:tcBorders>
              <w:bottom w:val="single" w:sz="12" w:space="0" w:color="1070B8"/>
            </w:tcBorders>
            <w:shd w:fill="D5DBE3" w:val="clear"/>
            <w:tcMar>
              <w:bottom w:w="60" w:type="dxa"/>
            </w:tcMar>
            <w:vAlign w:val="center"/>
          </w:tcPr>
          <w:p>
            <w:pPr>
              <w:pStyle w:val="TableContents"/>
              <w:bidi w:val="0"/>
              <w:spacing w:before="0" w:after="283"/>
              <w:jc w:val="left"/>
              <w:rPr>
                <w:sz w:val="4"/>
                <w:szCs w:val="4"/>
              </w:rPr>
            </w:pPr>
            <w:r>
              <w:rPr>
                <w:sz w:val="4"/>
                <w:szCs w:val="4"/>
              </w:rPr>
            </w:r>
          </w:p>
        </w:tc>
        <w:tc>
          <w:tcPr>
            <w:tcW w:w="185" w:type="dxa"/>
            <w:tcBorders>
              <w:bottom w:val="single" w:sz="12" w:space="0" w:color="1070B8"/>
            </w:tcBorders>
            <w:shd w:fill="D5DBE3" w:val="clear"/>
            <w:tcMar>
              <w:bottom w:w="28" w:type="dxa"/>
            </w:tcMar>
            <w:vAlign w:val="center"/>
          </w:tcPr>
          <w:p>
            <w:pPr>
              <w:pStyle w:val="TableContents"/>
              <w:bidi w:val="0"/>
              <w:spacing w:before="0" w:after="283"/>
              <w:jc w:val="left"/>
              <w:rPr/>
            </w:pPr>
            <w:r>
              <w:rPr/>
              <w:t>  </w:t>
            </w:r>
          </w:p>
        </w:tc>
        <w:tc>
          <w:tcPr>
            <w:tcW w:w="92" w:type="dxa"/>
            <w:tcBorders>
              <w:bottom w:val="single" w:sz="12" w:space="0" w:color="1070B8"/>
            </w:tcBorders>
            <w:shd w:fill="D5DBE3" w:val="clear"/>
            <w:tcMar>
              <w:bottom w:w="28" w:type="dxa"/>
            </w:tcMar>
            <w:vAlign w:val="center"/>
          </w:tcPr>
          <w:p>
            <w:pPr>
              <w:pStyle w:val="TableContents"/>
              <w:bidi w:val="0"/>
              <w:spacing w:before="0" w:after="283"/>
              <w:jc w:val="left"/>
              <w:rPr/>
            </w:pPr>
            <w:r>
              <w:rPr/>
              <w:t> </w:t>
            </w:r>
          </w:p>
        </w:tc>
        <w:tc>
          <w:tcPr>
            <w:tcW w:w="92" w:type="dxa"/>
            <w:tcBorders>
              <w:bottom w:val="single" w:sz="12" w:space="0" w:color="1070B8"/>
            </w:tcBorders>
            <w:shd w:fill="D5DBE3" w:val="clear"/>
            <w:tcMar>
              <w:bottom w:w="60" w:type="dxa"/>
            </w:tcMar>
            <w:vAlign w:val="center"/>
          </w:tcPr>
          <w:p>
            <w:pPr>
              <w:pStyle w:val="TableContents"/>
              <w:bidi w:val="0"/>
              <w:spacing w:before="0" w:after="283"/>
              <w:jc w:val="left"/>
              <w:rPr/>
            </w:pPr>
            <w:r>
              <w:rPr/>
              <w:t> </w:t>
            </w:r>
          </w:p>
        </w:tc>
        <w:tc>
          <w:tcPr>
            <w:tcW w:w="681" w:type="dxa"/>
            <w:tcBorders>
              <w:bottom w:val="single" w:sz="12" w:space="0" w:color="1070B8"/>
            </w:tcBorders>
            <w:shd w:fill="D5DBE3" w:val="clear"/>
            <w:tcMar>
              <w:bottom w:w="60" w:type="dxa"/>
            </w:tcMar>
            <w:vAlign w:val="center"/>
          </w:tcPr>
          <w:p>
            <w:pPr>
              <w:pStyle w:val="TableContents"/>
              <w:bidi w:val="0"/>
              <w:spacing w:before="0" w:after="283"/>
              <w:jc w:val="right"/>
              <w:rPr/>
            </w:pPr>
            <w:r>
              <w:rPr/>
              <w:t>16.2</w:t>
            </w:r>
          </w:p>
        </w:tc>
        <w:tc>
          <w:tcPr>
            <w:tcW w:w="64" w:type="dxa"/>
            <w:tcBorders>
              <w:bottom w:val="single" w:sz="12" w:space="0" w:color="1070B8"/>
            </w:tcBorders>
            <w:shd w:fill="D5DBE3" w:val="clear"/>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arial" w:hAnsi="arial"/>
                <w:sz w:val="20"/>
              </w:rPr>
            </w:pPr>
            <w:r>
              <w:rPr>
                <w:rFonts w:ascii="arial" w:hAnsi="arial"/>
                <w:sz w:val="20"/>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arial" w:hAnsi="arial"/>
                <w:sz w:val="20"/>
              </w:rPr>
            </w:pPr>
            <w:r>
              <w:rPr>
                <w:rFonts w:ascii="arial" w:hAnsi="arial"/>
                <w:sz w:val="20"/>
              </w:rPr>
              <w:t xml:space="preserve">Information reported is based on a Schedule 13G/A, as filed with the SEC on January 23, 2024, reporting beneficial ownership as of December 31, 2023, in which BlackRock, Inc. reported sole voting power over 4,025,875 shares of our common stock and sole dispositive power over 4,106,184 shares of our common stock. The address for BlackRock, Inc. is 50 Hudson Yards, New York, NY 10001.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1070B8"/>
        </w:rPr>
      </w:pPr>
      <w:r>
        <w:rPr>
          <w:bdr w:val="single" w:sz="2" w:space="1" w:color="1070B8"/>
        </w:rPr>
        <w:t> </w:t>
      </w:r>
    </w:p>
    <w:p>
      <w:pPr>
        <w:pStyle w:val="TextBody"/>
        <w:bidi w:val="0"/>
        <w:spacing w:before="0" w:after="0"/>
        <w:jc w:val="center"/>
        <w:rPr>
          <w:rFonts w:ascii="arial" w:hAnsi="arial"/>
          <w:b/>
          <w:color w:val="1070B8"/>
          <w:spacing w:val="0"/>
          <w:sz w:val="20"/>
        </w:rPr>
      </w:pPr>
      <w:r>
        <w:rPr>
          <w:rFonts w:ascii="arial" w:hAnsi="arial"/>
          <w:b/>
          <w:color w:val="1070B8"/>
          <w:spacing w:val="0"/>
          <w:sz w:val="20"/>
        </w:rPr>
        <w:t xml:space="preserve">IBP 2025 Proxy Statement </w:t>
      </w:r>
    </w:p>
    <w:p>
      <w:pPr>
        <w:pStyle w:val="TextBody"/>
        <w:bidi w:val="0"/>
        <w:spacing w:before="80" w:after="0"/>
        <w:jc w:val="center"/>
        <w:rPr>
          <w:rFonts w:ascii="arial" w:hAnsi="arial"/>
          <w:color w:val="1070B8"/>
          <w:spacing w:val="0"/>
          <w:sz w:val="20"/>
        </w:rPr>
      </w:pPr>
      <w:r>
        <w:rPr>
          <w:rFonts w:ascii="arial" w:hAnsi="arial"/>
          <w:color w:val="1070B8"/>
          <w:spacing w:val="0"/>
          <w:sz w:val="20"/>
        </w:rPr>
        <w:t xml:space="preserve">Stock Ownership Information </w:t>
      </w:r>
    </w:p>
    <w:p>
      <w:pPr>
        <w:pStyle w:val="TextBody"/>
        <w:bidi w:val="0"/>
        <w:spacing w:before="0" w:after="0"/>
        <w:jc w:val="left"/>
        <w:rPr/>
      </w:pPr>
      <w:r>
        <w:rPr/>
        <w:t> </w:t>
      </w:r>
    </w:p>
    <w:p>
      <w:pPr>
        <w:pStyle w:val="TextBody"/>
        <w:bidi w:val="0"/>
        <w:spacing w:before="0" w:after="0"/>
        <w:jc w:val="center"/>
        <w:rPr>
          <w:rFonts w:ascii="arial" w:hAnsi="arial"/>
          <w:color w:val="1070B8"/>
          <w:spacing w:val="0"/>
          <w:sz w:val="20"/>
        </w:rPr>
      </w:pPr>
      <w:r>
        <w:rPr>
          <w:rFonts w:ascii="arial" w:hAnsi="arial"/>
          <w:color w:val="1070B8"/>
          <w:spacing w:val="0"/>
          <w:sz w:val="20"/>
        </w:rPr>
        <w:t xml:space="preserve">79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0"/>
              <w:jc w:val="left"/>
              <w:rPr>
                <w:rFonts w:ascii="arial" w:hAnsi="arial"/>
                <w:sz w:val="20"/>
              </w:rPr>
            </w:pPr>
            <w:r>
              <w:rPr>
                <w:rFonts w:ascii="arial" w:hAnsi="arial"/>
                <w:sz w:val="20"/>
              </w:rPr>
              <w:t xml:space="preserve">Information reported is based on a Schedule 13G/A as filed with the SEC on January 31, 2024, reporting beneficial ownership as of December 31, 2023, as updated by Form 4 as filed with the SEC on March 10, 2025, in which PJAM IBP Holdings, Inc. (“PJAM”) and IBP Holding Company, the sole shareholder of PJAM, reported shared voting and dispositive power over 2,477,819 shares of our common stock, Installed Building Systems, Inc. (“IBS”) reported shared voting and dispositive power over 1,416,194 shares of our common stock and Jeffrey W. Edwards reported (i) sole voting and dispositive power over 214,339 shares of our common stock, (ii) shared voting and dispositive power over 3,894,013 shares of our common stock directly held by PJAM and IBS, and (iii) shared voting and dispositive power over 173,408 shares of our common stock held by Tremont FT, Inc. as trustee. Mr. Edwards disclaims any beneficial ownership of shares in which he does not have a pecuniary interest. The address for PJAM, IBP Holding Company, IBS and Jeffrey W. Edwards is 495 South High Street, Suite 150, Columbus, OH 43215. </w:t>
            </w:r>
          </w:p>
        </w:tc>
      </w:tr>
    </w:tbl>
    <w:p>
      <w:pPr>
        <w:pStyle w:val="TextBody"/>
        <w:bidi w:val="0"/>
        <w:spacing w:before="120" w:after="0"/>
        <w:jc w:val="left"/>
        <w:rPr>
          <w:rFonts w:ascii="arial" w:hAnsi="arial"/>
          <w:sz w:val="20"/>
        </w:rPr>
      </w:pPr>
      <w:r>
        <w:rPr>
          <w:rFonts w:ascii="arial" w:hAnsi="arial"/>
          <w:sz w:val="20"/>
        </w:rPr>
        <w:t xml:space="preserve">The Board has made exceptions to our Insider Trading Policy for Mr. Edwards in connection with certain financing arrangements made by a family-owned investment vehicle. In each of September, November 2023 and May 2024, IBS, an investment vehicle owned by Mr. Edwards and his siblings, entered into prepaid variable forward sale contracts with an unaffiliated third party buyer. In each of the September and November transactions, IBS pledged 450,000 shares, or 900,000 shares in the aggregate, and in the May transaction, IBS pledged 250,000 shares (collectively, the “Pledged Shares”) of our common stock to secure its obligations under the contracts, but retained ownership, dividend and voting rights in the Pledged Shares. The contracts obligate IBS to deliver to the buyer, on the applicable settlement date for each of the 12 components in the September transaction, each of the 15 components in the November transaction, and each of the 12 components in the May transaction, up to one hundred percent of the number of Pledged Shares for such component or, at IBS’ option, an equivalent amount of cash. </w:t>
      </w:r>
    </w:p>
    <w:p>
      <w:pPr>
        <w:pStyle w:val="TextBody"/>
        <w:bidi w:val="0"/>
        <w:spacing w:before="120" w:after="0"/>
        <w:jc w:val="left"/>
        <w:rPr>
          <w:rFonts w:ascii="arial" w:hAnsi="arial"/>
          <w:sz w:val="20"/>
        </w:rPr>
      </w:pPr>
      <w:r>
        <w:rPr>
          <w:rFonts w:ascii="arial" w:hAnsi="arial"/>
          <w:sz w:val="20"/>
        </w:rPr>
        <w:t xml:space="preserve">For the September transaction, the number of shares of our common stock to be delivered to the buyer on the settlement date (or on which to base the amount of cash to be delivered to the buyer on the settlement date) is determined as follows: (a) if the closing price of our common stock on the designated valuation date for the applicable component (each, a “September Settlement Price”) is less than or equal to $120.9623 (the “September Floor Price”), IBS will deliver to the buyer all of the Pledged Shares for the applicable component; (b) if such September Settlement Price is greater than the September Floor Price but less than or equal to $152.7944 (the “September Cap Price”), IBS will deliver to the buyer the number of shares equal to one hundred percent of the Pledged Shares for the applicable component multiplied by a fraction, the numerator of which is the September Floor Price and the denominator of which is such September Settlement Price and (c) if such September Settlement Price is greater than the September Cap Price, IBS will deliver to the buyer the number of shares equal to one hundred percent of Pledged Shares for the applicable component multiplied by a fraction, the numerator of which is the September Floor Price plus the excess of such September Settlement Price over the September Cap Price, and the denominator of which is such September Settlement Price. In connection with the entry into the forward contracts, IBS was entitled to receive aggregate net cash payments (amounts receivable by it upon entry into the forward contract) of $46,869,694. Each component is exercisable on the same date as it expires, and the expiration dates for the components, occur from August 14, 2025 to August 22, 2025 under one contract and from March 9, 2026 to March 13, 2026 under the other contract. </w:t>
      </w:r>
    </w:p>
    <w:p>
      <w:pPr>
        <w:pStyle w:val="TextBody"/>
        <w:bidi w:val="0"/>
        <w:spacing w:before="120" w:after="0"/>
        <w:jc w:val="left"/>
        <w:rPr>
          <w:rFonts w:ascii="arial" w:hAnsi="arial"/>
          <w:sz w:val="20"/>
        </w:rPr>
      </w:pPr>
      <w:r>
        <w:rPr>
          <w:rFonts w:ascii="arial" w:hAnsi="arial"/>
          <w:sz w:val="20"/>
        </w:rPr>
        <w:t xml:space="preserve">For the November transaction, the number of shares of our common stock to be delivered to the buyer on the settlement date (or on which to base the amount of cash to be delivered to the buyer on the settlement date) is determined as follows: (a) if the volume-weighted average price of our common stock on the designated valuation date for the applicable component (each, a “November Settlement Price”) is less than or equal to $131.9962 (the “ November Floor Price”), IBS will deliver to the buyer all of the Pledged Shares for the applicable component; (b) if such November Settlement Price is greater than the November Floor Price but less than or equal to $166.7321 (the “ November Cap Price”), IBS will deliver to the buyer the number of shares equal to one hundred percent of the Pledged Shares for the applicable component multiplied by a fraction, the numerator of which is the November Floor Price and the denominator of which is such November Settlement Price and (c) if such November Settlement Price is greater than the November Cap Price, IBS will deliver to the buyer the number of shares equal to one hundred percent of Pledged Shares for the applicable component multiplied by a fraction, the numerator of which is the November Floor Price plus the excess of such November Settlement Price over the November Cap Price, and the denominator of which is such November Settlement Price. In connection with the entry into the forward contracts, IBS was entitled to receive aggregate net cash payments (amounts receivable by it upon entry into the forward contract) of $48,769,133. Each component is exercisable on the same date as it expires, and the expiration dates for the components occur from November 16, 2026 to November 23, 2026 under one contract and from May 24, 2027 to June 4, 2027 under the other. </w:t>
      </w:r>
    </w:p>
    <w:p>
      <w:pPr>
        <w:pStyle w:val="TextBody"/>
        <w:bidi w:val="0"/>
        <w:spacing w:before="0" w:after="0"/>
        <w:jc w:val="left"/>
        <w:rPr/>
      </w:pPr>
      <w:r>
        <w:rPr/>
        <w:t> </w:t>
      </w:r>
    </w:p>
    <w:p>
      <w:pPr>
        <w:pStyle w:val="TextBody"/>
        <w:bidi w:val="0"/>
        <w:spacing w:lineRule="atLeast" w:line="142" w:before="0" w:after="40"/>
        <w:jc w:val="left"/>
        <w:rPr>
          <w:bdr w:val="single" w:sz="2" w:space="1" w:color="1070B8"/>
        </w:rPr>
      </w:pPr>
      <w:r>
        <w:rPr>
          <w:bdr w:val="single" w:sz="2" w:space="1" w:color="1070B8"/>
        </w:rPr>
        <w:t> </w:t>
      </w:r>
    </w:p>
    <w:p>
      <w:pPr>
        <w:pStyle w:val="TextBody"/>
        <w:bidi w:val="0"/>
        <w:spacing w:before="0" w:after="0"/>
        <w:jc w:val="center"/>
        <w:rPr>
          <w:rFonts w:ascii="arial" w:hAnsi="arial"/>
          <w:b/>
          <w:color w:val="1070B8"/>
          <w:spacing w:val="0"/>
          <w:sz w:val="20"/>
        </w:rPr>
      </w:pPr>
      <w:r>
        <w:rPr>
          <w:rFonts w:ascii="arial" w:hAnsi="arial"/>
          <w:b/>
          <w:color w:val="1070B8"/>
          <w:spacing w:val="0"/>
          <w:sz w:val="20"/>
        </w:rPr>
        <w:t xml:space="preserve">IBP 2025 Proxy Statement </w:t>
      </w:r>
    </w:p>
    <w:p>
      <w:pPr>
        <w:pStyle w:val="TextBody"/>
        <w:bidi w:val="0"/>
        <w:spacing w:before="80" w:after="0"/>
        <w:jc w:val="center"/>
        <w:rPr>
          <w:rFonts w:ascii="arial" w:hAnsi="arial"/>
          <w:color w:val="1070B8"/>
          <w:spacing w:val="0"/>
          <w:sz w:val="20"/>
        </w:rPr>
      </w:pPr>
      <w:r>
        <w:rPr>
          <w:rFonts w:ascii="arial" w:hAnsi="arial"/>
          <w:color w:val="1070B8"/>
          <w:spacing w:val="0"/>
          <w:sz w:val="20"/>
        </w:rPr>
        <w:t xml:space="preserve">Stock Ownership Information </w:t>
      </w:r>
    </w:p>
    <w:p>
      <w:pPr>
        <w:pStyle w:val="TextBody"/>
        <w:bidi w:val="0"/>
        <w:spacing w:before="0" w:after="0"/>
        <w:jc w:val="left"/>
        <w:rPr/>
      </w:pPr>
      <w:r>
        <w:rPr/>
        <w:t> </w:t>
      </w:r>
    </w:p>
    <w:p>
      <w:pPr>
        <w:pStyle w:val="TextBody"/>
        <w:bidi w:val="0"/>
        <w:spacing w:before="0" w:after="0"/>
        <w:jc w:val="center"/>
        <w:rPr>
          <w:rFonts w:ascii="arial" w:hAnsi="arial"/>
          <w:color w:val="1070B8"/>
          <w:spacing w:val="0"/>
          <w:sz w:val="20"/>
        </w:rPr>
      </w:pPr>
      <w:r>
        <w:rPr>
          <w:rFonts w:ascii="arial" w:hAnsi="arial"/>
          <w:color w:val="1070B8"/>
          <w:spacing w:val="0"/>
          <w:sz w:val="20"/>
        </w:rPr>
        <w:t xml:space="preserve">80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For the May transaction, the number of shares of our common stock to be delivered to the buyer on the settlement date (or on which to base the amount of cash to be delivered to the buyer on the settlement date) is determined as follows: (a) if the closing price of our common stock on the designated valuation date for the applicable component (each, a “May Settlement Price”) is less than or equal to $195.2611 (the “ May Floor Price”), IBS will deliver to the buyer all of the Pledged Shares for the applicable component; (b) if such May Settlement Price is greater than the May Floor Price but less than or equal to $246.6456 (the “ May Cap Price”), IBS will deliver to the buyer the number of shares equal to one hundred percent of the Pledged Shares for the applicable component multiplied by a fraction, the numerator of which is the May Floor Price and the denominator of which is such May Settlement Price and (c) if such May Settlement Price is greater than the May Cap Price, IBS will deliver to the buyer the number of shares equal to one hundred percent of Pledged Shares for the applicable component multiplied by a fraction, the numerator of which is the May Floor Price plus the excess of such May Settlement Price over the May Cap Price, and the denominator of which is such May Settlement Price. In connection with the entry into the forward contracts, IBS was entitled to receive aggregate net cash payments (amounts receivable by it upon entry into the forward contract) of $42,777,596. Each component is exercisable on the same date as it expires, and the expiration dates for the components occur from August 14, 2025 to August 22, 2025 under one contract and from March 9, 2026 to March 13, 2026 under the other contract.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0"/>
              <w:jc w:val="left"/>
              <w:rPr>
                <w:rFonts w:ascii="arial" w:hAnsi="arial"/>
                <w:sz w:val="20"/>
              </w:rPr>
            </w:pPr>
            <w:r>
              <w:rPr>
                <w:rFonts w:ascii="arial" w:hAnsi="arial"/>
                <w:sz w:val="20"/>
              </w:rPr>
              <w:t xml:space="preserve">Information reported is based on a Schedule 13G/A as filed with the SEC on February 13, 2024, reporting beneficial ownership as of December 29, 2023, in which The Vanguard Group reported shared voting power over 43,733 shares of our common stock, sole dispositive power over 2,553,720 shares of our common stock and shared dispositive power over 68,835 shares of our common stock. The address for The Vanguard Group is 100 Vanguard Blvd., Malvern, PA 19355.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305"/>
        <w:gridCol w:w="5885"/>
      </w:tblGrid>
      <w:tr>
        <w:trPr/>
        <w:tc>
          <w:tcPr>
            <w:tcW w:w="305" w:type="dxa"/>
            <w:tcBorders/>
            <w:vAlign w:val="center"/>
          </w:tcPr>
          <w:p>
            <w:pPr>
              <w:pStyle w:val="TableContents"/>
              <w:bidi w:val="0"/>
              <w:spacing w:before="0" w:after="283"/>
              <w:jc w:val="left"/>
              <w:rPr/>
            </w:pPr>
            <w:r>
              <w:rPr/>
              <w:t>(4)</w:t>
            </w:r>
          </w:p>
        </w:tc>
        <w:tc>
          <w:tcPr>
            <w:tcW w:w="5885" w:type="dxa"/>
            <w:tcBorders/>
            <w:vAlign w:val="center"/>
          </w:tcPr>
          <w:p>
            <w:pPr>
              <w:pStyle w:val="TableContents"/>
              <w:bidi w:val="0"/>
              <w:spacing w:before="0" w:after="0"/>
              <w:jc w:val="left"/>
              <w:rPr>
                <w:rFonts w:ascii="arial" w:hAnsi="arial"/>
                <w:sz w:val="20"/>
              </w:rPr>
            </w:pPr>
            <w:r>
              <w:rPr>
                <w:rFonts w:ascii="arial" w:hAnsi="arial"/>
                <w:sz w:val="20"/>
              </w:rPr>
              <w:t xml:space="preserve">Includes 598 shares of restricted stock that vest on May 20,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(5)</w:t>
            </w:r>
          </w:p>
        </w:tc>
        <w:tc>
          <w:tcPr>
            <w:tcW w:w="9963" w:type="dxa"/>
            <w:tcBorders/>
            <w:vAlign w:val="center"/>
          </w:tcPr>
          <w:p>
            <w:pPr>
              <w:pStyle w:val="TableContents"/>
              <w:bidi w:val="0"/>
              <w:spacing w:before="0" w:after="0"/>
              <w:jc w:val="left"/>
              <w:rPr>
                <w:rFonts w:ascii="arial" w:hAnsi="arial"/>
                <w:sz w:val="20"/>
              </w:rPr>
            </w:pPr>
            <w:r>
              <w:rPr>
                <w:rFonts w:ascii="arial" w:hAnsi="arial"/>
                <w:sz w:val="20"/>
              </w:rPr>
              <w:t xml:space="preserve">Includes 16,401 shares of restricted stock that vest on April 20, 2025, 34,963 shares of restricted stock that vest in equal installments (rounded to the nearest whole share) on each of April 20, 2025 and 2026 and 18,636 shares of restricted stock that vest in equal installments (rounded to the nearest whole share) on each of April 2026 and 2027, generally subject to Mr. Edwards’ continued employment on the applicable vesting date. These shares of restricted stock are included in the 214,339 shares reflected in note (2) with respect to which Mr. Edwards has sole voting and dispositive power.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(6)</w:t>
            </w:r>
          </w:p>
        </w:tc>
        <w:tc>
          <w:tcPr>
            <w:tcW w:w="9959" w:type="dxa"/>
            <w:tcBorders/>
            <w:vAlign w:val="center"/>
          </w:tcPr>
          <w:p>
            <w:pPr>
              <w:pStyle w:val="TableContents"/>
              <w:bidi w:val="0"/>
              <w:spacing w:before="0" w:after="0"/>
              <w:jc w:val="left"/>
              <w:rPr>
                <w:rFonts w:ascii="arial" w:hAnsi="arial"/>
                <w:sz w:val="20"/>
              </w:rPr>
            </w:pPr>
            <w:r>
              <w:rPr>
                <w:rFonts w:ascii="arial" w:hAnsi="arial"/>
                <w:sz w:val="20"/>
              </w:rPr>
              <w:t xml:space="preserve">Includes 1,093 shares of restricted stock that vest on April 20, 2024, 2,187 shares of restricted stock that vest in equal installments (rounded to the nearest whole share) on each of April 20, 2024 and 2025, 5,375 shares of restricted stock that vest on April 20, 2026, 2,427 shares of restricted stock that vest in equal installments (rounded to the nearest whole share) on each of April 20, 2025 and 2026, generally subject to Mr. Hire’s continued employment on the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(7)</w:t>
            </w:r>
          </w:p>
        </w:tc>
        <w:tc>
          <w:tcPr>
            <w:tcW w:w="9963" w:type="dxa"/>
            <w:tcBorders/>
            <w:vAlign w:val="center"/>
          </w:tcPr>
          <w:p>
            <w:pPr>
              <w:pStyle w:val="TableContents"/>
              <w:bidi w:val="0"/>
              <w:spacing w:before="0" w:after="0"/>
              <w:jc w:val="left"/>
              <w:rPr>
                <w:rFonts w:ascii="arial" w:hAnsi="arial"/>
                <w:sz w:val="20"/>
              </w:rPr>
            </w:pPr>
            <w:r>
              <w:rPr>
                <w:rFonts w:ascii="arial" w:hAnsi="arial"/>
                <w:sz w:val="20"/>
              </w:rPr>
              <w:t xml:space="preserve">Includes 3,777 shares of restricted stock that vest on April 20, 2025, 11,265 shares of restricted stock that vest in equal installments (rounded to the nearest whole share) on each of April 20, 2025 and 2026 and 1,281 shares of restricted stock that vest in equal installments (rounded to the nearest whole share) on each of April 20, 2026 and April 20, 2027, generally subject to Mr. Miller’s continued employment on the applicable vesting date. Includes 33,320 shares of common stock held by a trust of which Mr. Miller is the sole trustee and sole beneficiary and exercises sole voting and investment power.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(8)</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Includes 1,530 shares of restricted stock that vest on April 20, 2025, 3,982 shares of restricted stock that vest in equal installments (rounded to the nearest whole share) on each of April 20, 2025 and 2026, 2,329 shares of restricted stock tat vest in equal installments (rounded to the nearest whole shares) on each of April 20, 2026 and 2027 and 584 shares of restricted stock that vest on April 20, 2028, generally subject to Mr. Niswonger’s continued employment on the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(9)</w:t>
            </w:r>
          </w:p>
        </w:tc>
        <w:tc>
          <w:tcPr>
            <w:tcW w:w="9956" w:type="dxa"/>
            <w:tcBorders/>
            <w:vAlign w:val="center"/>
          </w:tcPr>
          <w:p>
            <w:pPr>
              <w:pStyle w:val="TableContents"/>
              <w:bidi w:val="0"/>
              <w:spacing w:before="0" w:after="0"/>
              <w:jc w:val="left"/>
              <w:rPr>
                <w:rFonts w:ascii="arial" w:hAnsi="arial"/>
                <w:sz w:val="20"/>
              </w:rPr>
            </w:pPr>
            <w:r>
              <w:rPr>
                <w:rFonts w:ascii="arial" w:hAnsi="arial"/>
                <w:sz w:val="20"/>
              </w:rPr>
              <w:t xml:space="preserve">Includes 4,855 shares of restricted stock that vest in equal installments (rounded to the nearest whole share) on each of April 20, 2025 and 2026, 4,659 shares of restricted stock that vest in equal installments on each of April 20, 2026 and 2027 and 584 shares of restricted stock that vest on April 20, 2028, generally subject to Mr. Wheeler’s continued employment on the applicable vesting date.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1070B8"/>
        </w:rPr>
      </w:pPr>
      <w:r>
        <w:rPr>
          <w:bdr w:val="single" w:sz="2" w:space="1" w:color="1070B8"/>
        </w:rPr>
        <w:t> </w:t>
      </w:r>
    </w:p>
    <w:p>
      <w:pPr>
        <w:pStyle w:val="TextBody"/>
        <w:bidi w:val="0"/>
        <w:spacing w:before="0" w:after="0"/>
        <w:jc w:val="center"/>
        <w:rPr>
          <w:rFonts w:ascii="arial" w:hAnsi="arial"/>
          <w:b/>
          <w:color w:val="1070B8"/>
          <w:spacing w:val="0"/>
          <w:sz w:val="20"/>
        </w:rPr>
      </w:pPr>
      <w:r>
        <w:rPr>
          <w:rFonts w:ascii="arial" w:hAnsi="arial"/>
          <w:b/>
          <w:color w:val="1070B8"/>
          <w:spacing w:val="0"/>
          <w:sz w:val="20"/>
        </w:rPr>
        <w:t xml:space="preserve">IBP 2025 Proxy Statement </w:t>
      </w:r>
    </w:p>
    <w:p>
      <w:pPr>
        <w:pStyle w:val="TextBody"/>
        <w:bidi w:val="0"/>
        <w:spacing w:before="80" w:after="0"/>
        <w:jc w:val="center"/>
        <w:rPr>
          <w:rFonts w:ascii="arial" w:hAnsi="arial"/>
          <w:color w:val="1070B8"/>
          <w:spacing w:val="0"/>
          <w:sz w:val="20"/>
        </w:rPr>
      </w:pPr>
      <w:r>
        <w:rPr>
          <w:rFonts w:ascii="arial" w:hAnsi="arial"/>
          <w:color w:val="1070B8"/>
          <w:spacing w:val="0"/>
          <w:sz w:val="20"/>
        </w:rPr>
        <w:t xml:space="preserve">Stock Ownership Information </w:t>
      </w:r>
    </w:p>
    <w:p>
      <w:pPr>
        <w:pStyle w:val="TextBody"/>
        <w:bidi w:val="0"/>
        <w:spacing w:before="0" w:after="0"/>
        <w:jc w:val="left"/>
        <w:rPr/>
      </w:pPr>
      <w:r>
        <w:rPr/>
        <w:t> </w:t>
      </w:r>
    </w:p>
    <w:p>
      <w:pPr>
        <w:pStyle w:val="TextBody"/>
        <w:bidi w:val="0"/>
        <w:spacing w:before="0" w:after="0"/>
        <w:jc w:val="center"/>
        <w:rPr>
          <w:rFonts w:ascii="arial" w:hAnsi="arial"/>
          <w:color w:val="1070B8"/>
          <w:spacing w:val="0"/>
          <w:sz w:val="20"/>
        </w:rPr>
      </w:pPr>
      <w:r>
        <w:rPr>
          <w:rFonts w:ascii="arial" w:hAnsi="arial"/>
          <w:color w:val="1070B8"/>
          <w:spacing w:val="0"/>
          <w:sz w:val="20"/>
        </w:rPr>
        <w:t xml:space="preserve">81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1F295C"/>
          <w:spacing w:val="0"/>
          <w:sz w:val="24"/>
        </w:rPr>
      </w:pPr>
      <w:r>
        <w:rPr>
          <w:rFonts w:ascii="arial" w:hAnsi="arial"/>
          <w:b/>
          <w:color w:val="1F295C"/>
          <w:spacing w:val="0"/>
          <w:sz w:val="24"/>
        </w:rPr>
        <w:t xml:space="preserve">Securities Authorized for Issuance under Equity Compensation Plans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20"/>
        </w:rPr>
      </w:pPr>
      <w:r>
        <w:rPr>
          <w:rFonts w:ascii="arial" w:hAnsi="arial"/>
          <w:sz w:val="20"/>
        </w:rPr>
        <w:t xml:space="preserve">The following table sets forth information regarding the shares of our common stock issuable under our 2023 Omnibus Incentive Plan as of December 31, 2024. The plan authorizes the grant of stock options, stock appreciation rights, stock equivalent units, restricted stock, restricted stock units, bonus awards, performance shares, performance units and other stock-based awards. </w:t>
      </w:r>
    </w:p>
    <w:p>
      <w:pPr>
        <w:pStyle w:val="TextBody"/>
        <w:bidi w:val="0"/>
        <w:spacing w:before="240" w:after="0"/>
        <w:jc w:val="left"/>
        <w:rPr>
          <w:rFonts w:ascii="arial" w:hAnsi="arial"/>
          <w:sz w:val="20"/>
        </w:rPr>
      </w:pPr>
      <w:r>
        <w:rPr>
          <w:rFonts w:ascii="arial" w:hAnsi="arial"/>
          <w:sz w:val="20"/>
        </w:rPr>
        <w:t xml:space="preserve">The aggregate number of shares of our common stock initially reserved for issuance under the 2023 Omnibus Incentive Plan was 2,098,116. As of December 31, 2024, there were 194,645 shares issuable under the 2023 Omnibus Incentive Plan pursuant to outstanding restricted stock awards granted under the plan, and 7,952 shares issuable pursuant to outstanding restricted stock units granted under the plan. No other equity-based awards have been issued under the 2023 Omnibus Incentive Plan. </w:t>
      </w:r>
    </w:p>
    <w:p>
      <w:pPr>
        <w:pStyle w:val="TextBody"/>
        <w:bidi w:val="0"/>
        <w:spacing w:before="240" w:after="0"/>
        <w:jc w:val="left"/>
        <w:rPr>
          <w:rFonts w:ascii="arial" w:hAnsi="arial"/>
          <w:sz w:val="20"/>
        </w:rPr>
      </w:pPr>
      <w:r>
        <w:rPr>
          <w:rFonts w:ascii="arial" w:hAnsi="arial"/>
          <w:sz w:val="20"/>
        </w:rPr>
        <w:t xml:space="preserve">The line item in the table below relating to our 2014 Omnibus Incentive Plan are shares that are subject to outstanding awards. The shares subject to outstanding awards under the 2014 Omnibus Incentive Plan will become available for issuance under the 2023 Omnibus Incentive Plan if the underlying outstanding awards are forfeited. </w:t>
      </w:r>
    </w:p>
    <w:p>
      <w:pPr>
        <w:pStyle w:val="TextBody"/>
        <w:bidi w:val="0"/>
        <w:spacing w:before="0" w:after="0"/>
        <w:jc w:val="left"/>
        <w:rPr/>
      </w:pPr>
      <w:r>
        <w:rPr/>
        <w:t> </w:t>
      </w:r>
    </w:p>
    <w:tbl>
      <w:tblPr>
        <w:tblW w:w="9144" w:type="dxa"/>
        <w:jc w:val="left"/>
        <w:tblInd w:w="0" w:type="dxa"/>
        <w:tblLayout w:type="fixed"/>
        <w:tblCellMar>
          <w:top w:w="0" w:type="dxa"/>
          <w:left w:w="0" w:type="dxa"/>
          <w:bottom w:w="0" w:type="dxa"/>
          <w:right w:w="0" w:type="dxa"/>
        </w:tblCellMar>
      </w:tblPr>
      <w:tblGrid>
        <w:gridCol w:w="5255"/>
        <w:gridCol w:w="120"/>
        <w:gridCol w:w="211"/>
        <w:gridCol w:w="211"/>
        <w:gridCol w:w="3082"/>
        <w:gridCol w:w="265"/>
      </w:tblGrid>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5255" w:type="dxa"/>
            <w:tcBorders>
              <w:bottom w:val="single" w:sz="16" w:space="0" w:color="1070B8"/>
            </w:tcBorders>
            <w:tcMar>
              <w:bottom w:w="28" w:type="dxa"/>
            </w:tcMar>
            <w:vAlign w:val="center"/>
          </w:tcPr>
          <w:p>
            <w:pPr>
              <w:pStyle w:val="TableContents"/>
              <w:bidi w:val="0"/>
              <w:spacing w:before="0" w:after="283"/>
              <w:jc w:val="left"/>
              <w:rPr/>
            </w:pPr>
            <w:r>
              <w:rPr/>
              <w:t>  </w:t>
            </w:r>
          </w:p>
        </w:tc>
        <w:tc>
          <w:tcPr>
            <w:tcW w:w="120" w:type="dxa"/>
            <w:tcBorders>
              <w:bottom w:val="single" w:sz="16" w:space="0" w:color="1070B8"/>
            </w:tcBorders>
            <w:tcMar>
              <w:bottom w:w="28" w:type="dxa"/>
            </w:tcMar>
            <w:vAlign w:val="center"/>
          </w:tcPr>
          <w:p>
            <w:pPr>
              <w:pStyle w:val="TableContents"/>
              <w:bidi w:val="0"/>
              <w:spacing w:before="0" w:after="283"/>
              <w:jc w:val="left"/>
              <w:rPr/>
            </w:pPr>
            <w:r>
              <w:rPr/>
              <w:t>  </w:t>
            </w:r>
          </w:p>
        </w:tc>
        <w:tc>
          <w:tcPr>
            <w:tcW w:w="3769" w:type="dxa"/>
            <w:gridSpan w:val="4"/>
            <w:tcBorders>
              <w:bottom w:val="single" w:sz="16" w:space="0" w:color="1070B8"/>
            </w:tcBorders>
            <w:tcMar>
              <w:bottom w:w="40" w:type="dxa"/>
            </w:tcMar>
            <w:vAlign w:val="center"/>
          </w:tcPr>
          <w:p>
            <w:pPr>
              <w:pStyle w:val="TableContents"/>
              <w:bidi w:val="0"/>
              <w:spacing w:before="0" w:after="0"/>
              <w:jc w:val="center"/>
              <w:rPr>
                <w:rFonts w:ascii="arial" w:hAnsi="arial"/>
                <w:b/>
                <w:color w:val="1F295C"/>
                <w:spacing w:val="0"/>
                <w:sz w:val="18"/>
              </w:rPr>
            </w:pPr>
            <w:r>
              <w:rPr>
                <w:rFonts w:ascii="arial" w:hAnsi="arial"/>
                <w:b/>
                <w:color w:val="1F295C"/>
                <w:spacing w:val="0"/>
                <w:sz w:val="18"/>
              </w:rPr>
              <w:t>Number of Securities Remaining</w:t>
            </w:r>
          </w:p>
          <w:p>
            <w:pPr>
              <w:pStyle w:val="TableContents"/>
              <w:bidi w:val="0"/>
              <w:spacing w:before="0" w:after="0"/>
              <w:jc w:val="center"/>
              <w:rPr>
                <w:rFonts w:ascii="arial" w:hAnsi="arial"/>
                <w:b/>
                <w:color w:val="1F295C"/>
                <w:spacing w:val="0"/>
                <w:sz w:val="18"/>
              </w:rPr>
            </w:pPr>
            <w:r>
              <w:rPr>
                <w:rFonts w:ascii="arial" w:hAnsi="arial"/>
                <w:b/>
                <w:color w:val="1F295C"/>
                <w:spacing w:val="0"/>
                <w:sz w:val="18"/>
              </w:rPr>
              <w:t>Available for Future Issuance</w:t>
            </w:r>
          </w:p>
          <w:p>
            <w:pPr>
              <w:pStyle w:val="TableContents"/>
              <w:bidi w:val="0"/>
              <w:spacing w:before="0" w:after="0"/>
              <w:jc w:val="center"/>
              <w:rPr>
                <w:color w:val="1F295C"/>
                <w:spacing w:val="0"/>
              </w:rPr>
            </w:pPr>
            <w:r>
              <w:rPr>
                <w:color w:val="1F295C"/>
                <w:spacing w:val="0"/>
              </w:rPr>
              <w:t>  </w:t>
            </w:r>
            <w:r>
              <w:rPr>
                <w:rFonts w:ascii="arial" w:hAnsi="arial"/>
                <w:b/>
                <w:color w:val="1F295C"/>
                <w:spacing w:val="0"/>
                <w:sz w:val="18"/>
              </w:rPr>
              <w:t>under Equity Compensation Plans  </w:t>
            </w:r>
          </w:p>
          <w:p>
            <w:pPr>
              <w:pStyle w:val="TableContents"/>
              <w:bidi w:val="0"/>
              <w:spacing w:before="0" w:after="0"/>
              <w:jc w:val="center"/>
              <w:rPr>
                <w:rFonts w:ascii="arial" w:hAnsi="arial"/>
                <w:b/>
                <w:color w:val="1F295C"/>
                <w:spacing w:val="0"/>
                <w:sz w:val="18"/>
              </w:rPr>
            </w:pPr>
            <w:r>
              <w:rPr>
                <w:rFonts w:ascii="arial" w:hAnsi="arial"/>
                <w:b/>
                <w:color w:val="1F295C"/>
                <w:spacing w:val="0"/>
                <w:sz w:val="18"/>
              </w:rPr>
              <w:t>(#)</w:t>
            </w:r>
          </w:p>
          <w:p>
            <w:pPr>
              <w:pStyle w:val="TableContents"/>
              <w:bidi w:val="0"/>
              <w:spacing w:before="0" w:after="20"/>
              <w:jc w:val="left"/>
              <w:rPr/>
            </w:pPr>
            <w:r>
              <w:rPr/>
              <w:t> </w:t>
            </w:r>
          </w:p>
        </w:tc>
      </w:tr>
      <w:tr>
        <w:trPr/>
        <w:tc>
          <w:tcPr>
            <w:tcW w:w="5255" w:type="dxa"/>
            <w:tcBorders>
              <w:bottom w:val="single" w:sz="6" w:space="0" w:color="1F295C"/>
            </w:tcBorders>
            <w:shd w:fill="D5DBE3"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Equity compensation plans approved by security holders:</w:t>
            </w:r>
          </w:p>
          <w:p>
            <w:pPr>
              <w:pStyle w:val="TableContents"/>
              <w:bidi w:val="0"/>
              <w:spacing w:before="0" w:after="20"/>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211" w:type="dxa"/>
            <w:tcBorders>
              <w:bottom w:val="single" w:sz="6" w:space="0" w:color="1F295C"/>
            </w:tcBorders>
            <w:tcMar>
              <w:bottom w:w="28" w:type="dxa"/>
            </w:tcMar>
            <w:vAlign w:val="center"/>
          </w:tcPr>
          <w:p>
            <w:pPr>
              <w:pStyle w:val="TableContents"/>
              <w:bidi w:val="0"/>
              <w:spacing w:before="0" w:after="283"/>
              <w:jc w:val="left"/>
              <w:rPr/>
            </w:pPr>
            <w:r>
              <w:rPr/>
              <w:t> </w:t>
            </w:r>
          </w:p>
        </w:tc>
        <w:tc>
          <w:tcPr>
            <w:tcW w:w="211" w:type="dxa"/>
            <w:tcBorders>
              <w:bottom w:val="single" w:sz="6" w:space="0" w:color="1F295C"/>
            </w:tcBorders>
            <w:tcMar>
              <w:bottom w:w="28" w:type="dxa"/>
            </w:tcMar>
            <w:vAlign w:val="center"/>
          </w:tcPr>
          <w:p>
            <w:pPr>
              <w:pStyle w:val="TableContents"/>
              <w:bidi w:val="0"/>
              <w:spacing w:before="0" w:after="283"/>
              <w:jc w:val="left"/>
              <w:rPr/>
            </w:pPr>
            <w:r>
              <w:rPr/>
              <w:t> </w:t>
            </w:r>
          </w:p>
        </w:tc>
        <w:tc>
          <w:tcPr>
            <w:tcW w:w="3082" w:type="dxa"/>
            <w:tcBorders>
              <w:bottom w:val="single" w:sz="6" w:space="0" w:color="1F295C"/>
            </w:tcBorders>
            <w:tcMar>
              <w:bottom w:w="28" w:type="dxa"/>
            </w:tcMar>
            <w:vAlign w:val="center"/>
          </w:tcPr>
          <w:p>
            <w:pPr>
              <w:pStyle w:val="TableContents"/>
              <w:bidi w:val="0"/>
              <w:spacing w:before="0" w:after="283"/>
              <w:jc w:val="left"/>
              <w:rPr/>
            </w:pPr>
            <w:r>
              <w:rPr/>
              <w:t> </w:t>
            </w:r>
          </w:p>
        </w:tc>
        <w:tc>
          <w:tcPr>
            <w:tcW w:w="265" w:type="dxa"/>
            <w:tcBorders>
              <w:bottom w:val="single" w:sz="6" w:space="0" w:color="1F295C"/>
            </w:tcBorders>
            <w:tcMar>
              <w:bottom w:w="28" w:type="dxa"/>
            </w:tcMar>
            <w:vAlign w:val="center"/>
          </w:tcPr>
          <w:p>
            <w:pPr>
              <w:pStyle w:val="TableContents"/>
              <w:bidi w:val="0"/>
              <w:spacing w:before="0" w:after="283"/>
              <w:jc w:val="left"/>
              <w:rPr/>
            </w:pPr>
            <w:r>
              <w:rPr/>
              <w:t> </w:t>
            </w:r>
          </w:p>
        </w:tc>
      </w:tr>
      <w:tr>
        <w:trPr/>
        <w:tc>
          <w:tcPr>
            <w:tcW w:w="5255" w:type="dxa"/>
            <w:tcBorders>
              <w:bottom w:val="single" w:sz="6" w:space="0" w:color="1F295C"/>
            </w:tcBorders>
            <w:shd w:fill="D5DBE3"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2014 Omnibus Incentive Plan</w:t>
            </w:r>
          </w:p>
          <w:p>
            <w:pPr>
              <w:pStyle w:val="TableContents"/>
              <w:bidi w:val="0"/>
              <w:spacing w:before="0" w:after="20"/>
              <w:jc w:val="left"/>
              <w:rPr/>
            </w:pPr>
            <w:r>
              <w:rPr/>
              <w:t> </w:t>
            </w:r>
          </w:p>
        </w:tc>
        <w:tc>
          <w:tcPr>
            <w:tcW w:w="120" w:type="dxa"/>
            <w:tcBorders>
              <w:bottom w:val="single" w:sz="6" w:space="0" w:color="1F295C"/>
            </w:tcBorders>
            <w:tcMar>
              <w:bottom w:w="28" w:type="dxa"/>
            </w:tcMar>
            <w:vAlign w:val="center"/>
          </w:tcPr>
          <w:p>
            <w:pPr>
              <w:pStyle w:val="TableContents"/>
              <w:bidi w:val="0"/>
              <w:spacing w:before="0" w:after="283"/>
              <w:jc w:val="left"/>
              <w:rPr/>
            </w:pPr>
            <w:r>
              <w:rPr/>
              <w:t>  </w:t>
            </w:r>
          </w:p>
        </w:tc>
        <w:tc>
          <w:tcPr>
            <w:tcW w:w="211" w:type="dxa"/>
            <w:tcBorders>
              <w:bottom w:val="single" w:sz="6" w:space="0" w:color="1F295C"/>
            </w:tcBorders>
            <w:tcMar>
              <w:bottom w:w="28" w:type="dxa"/>
            </w:tcMar>
            <w:vAlign w:val="center"/>
          </w:tcPr>
          <w:p>
            <w:pPr>
              <w:pStyle w:val="TableContents"/>
              <w:bidi w:val="0"/>
              <w:spacing w:before="0" w:after="283"/>
              <w:jc w:val="left"/>
              <w:rPr/>
            </w:pPr>
            <w:r>
              <w:rPr/>
              <w:t> </w:t>
            </w:r>
          </w:p>
        </w:tc>
        <w:tc>
          <w:tcPr>
            <w:tcW w:w="211" w:type="dxa"/>
            <w:tcBorders>
              <w:bottom w:val="single" w:sz="6" w:space="0" w:color="1F295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3082" w:type="dxa"/>
            <w:tcBorders>
              <w:bottom w:val="single" w:sz="6" w:space="0" w:color="1F295C"/>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20"/>
              </w:rPr>
            </w:pPr>
            <w:r>
              <w:rPr>
                <w:rFonts w:ascii="arial" w:hAnsi="arial"/>
                <w:sz w:val="20"/>
              </w:rPr>
              <w:t>60,856</w:t>
            </w:r>
          </w:p>
          <w:p>
            <w:pPr>
              <w:pStyle w:val="TableContents"/>
              <w:bidi w:val="0"/>
              <w:spacing w:before="0" w:after="20"/>
              <w:jc w:val="left"/>
              <w:rPr/>
            </w:pPr>
            <w:r>
              <w:rPr/>
              <w:t> </w:t>
            </w:r>
          </w:p>
        </w:tc>
        <w:tc>
          <w:tcPr>
            <w:tcW w:w="265" w:type="dxa"/>
            <w:tcBorders>
              <w:bottom w:val="single" w:sz="6" w:space="0" w:color="1F295C"/>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5255" w:type="dxa"/>
            <w:tcBorders>
              <w:bottom w:val="single" w:sz="6" w:space="0" w:color="000000"/>
            </w:tcBorders>
            <w:shd w:fill="D5DBE3"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2023 Omnibus Incentive Plan</w:t>
            </w:r>
          </w:p>
          <w:p>
            <w:pPr>
              <w:pStyle w:val="TableContents"/>
              <w:bidi w:val="0"/>
              <w:spacing w:before="0" w:after="2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1" w:type="dxa"/>
            <w:tcBorders>
              <w:bottom w:val="single" w:sz="6" w:space="0" w:color="000000"/>
            </w:tcBorders>
            <w:tcMar>
              <w:bottom w:w="28" w:type="dxa"/>
            </w:tcMar>
            <w:vAlign w:val="center"/>
          </w:tcPr>
          <w:p>
            <w:pPr>
              <w:pStyle w:val="TableContents"/>
              <w:bidi w:val="0"/>
              <w:spacing w:before="0" w:after="283"/>
              <w:jc w:val="left"/>
              <w:rPr/>
            </w:pPr>
            <w:r>
              <w:rPr/>
              <w:t> </w:t>
            </w:r>
          </w:p>
        </w:tc>
        <w:tc>
          <w:tcPr>
            <w:tcW w:w="211"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3082"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20"/>
              </w:rPr>
            </w:pPr>
            <w:r>
              <w:rPr>
                <w:rFonts w:ascii="arial" w:hAnsi="arial"/>
                <w:sz w:val="20"/>
              </w:rPr>
              <w:t>1,717,724</w:t>
            </w:r>
          </w:p>
          <w:p>
            <w:pPr>
              <w:pStyle w:val="TableContents"/>
              <w:bidi w:val="0"/>
              <w:spacing w:before="0" w:after="20"/>
              <w:jc w:val="left"/>
              <w:rPr/>
            </w:pPr>
            <w:r>
              <w:rPr/>
              <w:t> </w:t>
            </w:r>
          </w:p>
        </w:tc>
        <w:tc>
          <w:tcPr>
            <w:tcW w:w="26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5255" w:type="dxa"/>
            <w:tcBorders>
              <w:bottom w:val="single" w:sz="6" w:space="0" w:color="000000"/>
            </w:tcBorders>
            <w:shd w:fill="D5DBE3"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Equity compensation plans not approved by stockholders</w:t>
            </w:r>
          </w:p>
          <w:p>
            <w:pPr>
              <w:pStyle w:val="TableContents"/>
              <w:bidi w:val="0"/>
              <w:spacing w:before="0" w:after="2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1" w:type="dxa"/>
            <w:tcBorders>
              <w:bottom w:val="single" w:sz="6" w:space="0" w:color="000000"/>
            </w:tcBorders>
            <w:tcMar>
              <w:bottom w:w="28" w:type="dxa"/>
            </w:tcMar>
            <w:vAlign w:val="center"/>
          </w:tcPr>
          <w:p>
            <w:pPr>
              <w:pStyle w:val="TableContents"/>
              <w:bidi w:val="0"/>
              <w:spacing w:before="0" w:after="283"/>
              <w:jc w:val="left"/>
              <w:rPr/>
            </w:pPr>
            <w:r>
              <w:rPr/>
              <w:t> </w:t>
            </w:r>
          </w:p>
        </w:tc>
        <w:tc>
          <w:tcPr>
            <w:tcW w:w="211"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3082"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20"/>
              </w:rPr>
            </w:pPr>
            <w:r>
              <w:rPr>
                <w:rFonts w:ascii="arial" w:hAnsi="arial"/>
                <w:sz w:val="20"/>
              </w:rPr>
              <w:t>-</w:t>
            </w:r>
          </w:p>
          <w:p>
            <w:pPr>
              <w:pStyle w:val="TableContents"/>
              <w:bidi w:val="0"/>
              <w:spacing w:before="0" w:after="20"/>
              <w:jc w:val="left"/>
              <w:rPr/>
            </w:pPr>
            <w:r>
              <w:rPr/>
              <w:t> </w:t>
            </w:r>
          </w:p>
        </w:tc>
        <w:tc>
          <w:tcPr>
            <w:tcW w:w="26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5255" w:type="dxa"/>
            <w:tcBorders>
              <w:bottom w:val="single" w:sz="16" w:space="0" w:color="1070B8"/>
            </w:tcBorders>
            <w:shd w:fill="D5DBE3"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Total</w:t>
            </w:r>
          </w:p>
          <w:p>
            <w:pPr>
              <w:pStyle w:val="TableContents"/>
              <w:bidi w:val="0"/>
              <w:spacing w:before="0" w:after="20"/>
              <w:jc w:val="left"/>
              <w:rPr/>
            </w:pPr>
            <w:r>
              <w:rPr/>
              <w:t> </w:t>
            </w:r>
          </w:p>
        </w:tc>
        <w:tc>
          <w:tcPr>
            <w:tcW w:w="120" w:type="dxa"/>
            <w:tcBorders>
              <w:bottom w:val="single" w:sz="16" w:space="0" w:color="1070B8"/>
            </w:tcBorders>
            <w:tcMar>
              <w:bottom w:w="28" w:type="dxa"/>
            </w:tcMar>
            <w:vAlign w:val="center"/>
          </w:tcPr>
          <w:p>
            <w:pPr>
              <w:pStyle w:val="TableContents"/>
              <w:bidi w:val="0"/>
              <w:spacing w:before="0" w:after="283"/>
              <w:jc w:val="left"/>
              <w:rPr/>
            </w:pPr>
            <w:r>
              <w:rPr/>
              <w:t>  </w:t>
            </w:r>
          </w:p>
        </w:tc>
        <w:tc>
          <w:tcPr>
            <w:tcW w:w="211" w:type="dxa"/>
            <w:tcBorders>
              <w:bottom w:val="single" w:sz="16" w:space="0" w:color="1070B8"/>
            </w:tcBorders>
            <w:tcMar>
              <w:bottom w:w="28" w:type="dxa"/>
            </w:tcMar>
            <w:vAlign w:val="center"/>
          </w:tcPr>
          <w:p>
            <w:pPr>
              <w:pStyle w:val="TableContents"/>
              <w:bidi w:val="0"/>
              <w:spacing w:before="0" w:after="283"/>
              <w:jc w:val="left"/>
              <w:rPr/>
            </w:pPr>
            <w:r>
              <w:rPr/>
              <w:t> </w:t>
            </w:r>
          </w:p>
        </w:tc>
        <w:tc>
          <w:tcPr>
            <w:tcW w:w="211" w:type="dxa"/>
            <w:tcBorders>
              <w:bottom w:val="single" w:sz="16" w:space="0" w:color="1070B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3082" w:type="dxa"/>
            <w:tcBorders>
              <w:bottom w:val="single" w:sz="16" w:space="0" w:color="1070B8"/>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20"/>
              </w:rPr>
            </w:pPr>
            <w:r>
              <w:rPr>
                <w:rFonts w:ascii="arial" w:hAnsi="arial"/>
                <w:sz w:val="20"/>
              </w:rPr>
              <w:t>1,778,310</w:t>
            </w:r>
          </w:p>
          <w:p>
            <w:pPr>
              <w:pStyle w:val="TableContents"/>
              <w:bidi w:val="0"/>
              <w:spacing w:before="0" w:after="20"/>
              <w:jc w:val="left"/>
              <w:rPr/>
            </w:pPr>
            <w:r>
              <w:rPr/>
              <w:t> </w:t>
            </w:r>
          </w:p>
        </w:tc>
        <w:tc>
          <w:tcPr>
            <w:tcW w:w="265" w:type="dxa"/>
            <w:tcBorders>
              <w:bottom w:val="single" w:sz="16" w:space="0" w:color="1070B8"/>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1070B8"/>
        </w:rPr>
      </w:pPr>
      <w:r>
        <w:rPr>
          <w:bdr w:val="single" w:sz="2" w:space="1" w:color="1070B8"/>
        </w:rPr>
        <w:t> </w:t>
      </w:r>
    </w:p>
    <w:p>
      <w:pPr>
        <w:pStyle w:val="TextBody"/>
        <w:bidi w:val="0"/>
        <w:spacing w:before="0" w:after="0"/>
        <w:jc w:val="center"/>
        <w:rPr>
          <w:rFonts w:ascii="arial" w:hAnsi="arial"/>
          <w:b/>
          <w:color w:val="1070B8"/>
          <w:spacing w:val="0"/>
          <w:sz w:val="20"/>
        </w:rPr>
      </w:pPr>
      <w:r>
        <w:rPr>
          <w:rFonts w:ascii="arial" w:hAnsi="arial"/>
          <w:b/>
          <w:color w:val="1070B8"/>
          <w:spacing w:val="0"/>
          <w:sz w:val="20"/>
        </w:rPr>
        <w:t xml:space="preserve">IBP 2025 Proxy Statement </w:t>
      </w:r>
    </w:p>
    <w:p>
      <w:pPr>
        <w:pStyle w:val="TextBody"/>
        <w:bidi w:val="0"/>
        <w:spacing w:before="80" w:after="0"/>
        <w:jc w:val="center"/>
        <w:rPr>
          <w:rFonts w:ascii="arial" w:hAnsi="arial"/>
          <w:color w:val="1070B8"/>
          <w:spacing w:val="0"/>
          <w:sz w:val="20"/>
        </w:rPr>
      </w:pPr>
      <w:r>
        <w:rPr>
          <w:rFonts w:ascii="arial" w:hAnsi="arial"/>
          <w:color w:val="1070B8"/>
          <w:spacing w:val="0"/>
          <w:sz w:val="20"/>
        </w:rPr>
        <w:t xml:space="preserve">Stock Ownership Information </w:t>
      </w:r>
    </w:p>
    <w:p>
      <w:pPr>
        <w:pStyle w:val="TextBody"/>
        <w:bidi w:val="0"/>
        <w:spacing w:before="0" w:after="0"/>
        <w:jc w:val="left"/>
        <w:rPr/>
      </w:pPr>
      <w:r>
        <w:rPr/>
        <w:t> </w:t>
      </w:r>
    </w:p>
    <w:p>
      <w:pPr>
        <w:pStyle w:val="TextBody"/>
        <w:bidi w:val="0"/>
        <w:jc w:val="center"/>
        <w:rPr>
          <w:rFonts w:ascii="arial" w:hAnsi="arial"/>
          <w:color w:val="1070B8"/>
          <w:spacing w:val="0"/>
          <w:sz w:val="20"/>
        </w:rPr>
      </w:pPr>
      <w:r>
        <w:rPr>
          <w:rFonts w:ascii="arial" w:hAnsi="arial"/>
          <w:color w:val="1070B8"/>
          <w:spacing w:val="0"/>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bookmarkStart w:id="102" w:name="toc849638_75"/>
      <w:bookmarkEnd w:id="102"/>
      <w:r>
        <w:rPr>
          <w:rFonts w:ascii="Times New Roman" w:hAnsi="Times New Roman"/>
          <w:b/>
          <w:color w:val="1070B8"/>
          <w:sz w:val="44"/>
        </w:rPr>
        <w:t xml:space="preserve">RELATED PARTY TRANSACTIONS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240" w:after="0"/>
        <w:jc w:val="left"/>
        <w:rPr>
          <w:rFonts w:ascii="arial" w:hAnsi="arial"/>
          <w:i/>
          <w:sz w:val="20"/>
        </w:rPr>
      </w:pPr>
      <w:r>
        <w:rPr>
          <w:rFonts w:ascii="arial" w:hAnsi="arial"/>
          <w:i/>
          <w:sz w:val="20"/>
        </w:rPr>
        <w:t xml:space="preserve">Jeff Edwards, Peter Edwards Jr., Anne Edwards and Michael Edwards, and the investment entities through which they directly and indirectly beneficially own shares of our common stock, are referred to below as the Edwards Investors. Peter Edwards Jr., Anne Edwards and Michael Edwards are siblings of Jeff Edwards. </w:t>
      </w:r>
    </w:p>
    <w:p>
      <w:pPr>
        <w:pStyle w:val="TextBody"/>
        <w:bidi w:val="0"/>
        <w:spacing w:before="240" w:after="0"/>
        <w:jc w:val="left"/>
        <w:rPr>
          <w:rFonts w:ascii="arial" w:hAnsi="arial"/>
          <w:b/>
          <w:color w:val="1F295C"/>
          <w:sz w:val="24"/>
        </w:rPr>
      </w:pPr>
      <w:bookmarkStart w:id="103" w:name="toc849638_76"/>
      <w:bookmarkEnd w:id="103"/>
      <w:r>
        <w:rPr>
          <w:rFonts w:ascii="arial" w:hAnsi="arial"/>
          <w:b/>
          <w:color w:val="1F295C"/>
          <w:sz w:val="24"/>
        </w:rPr>
        <w:t xml:space="preserve">Affiliate Sales </w:t>
      </w:r>
    </w:p>
    <w:p>
      <w:pPr>
        <w:pStyle w:val="TextBody"/>
        <w:bidi w:val="0"/>
        <w:spacing w:before="240" w:after="0"/>
        <w:jc w:val="left"/>
        <w:rPr>
          <w:rFonts w:ascii="arial" w:hAnsi="arial"/>
          <w:sz w:val="20"/>
        </w:rPr>
      </w:pPr>
      <w:r>
        <w:rPr>
          <w:rFonts w:ascii="arial" w:hAnsi="arial"/>
          <w:sz w:val="20"/>
        </w:rPr>
        <w:t xml:space="preserve">Our operating subsidiaries install building products in the ordinary course of their businesses for certain of our directors and executive officers or their affiliated entities. These transactions are performed on terms comparable to those that could be obtained in an arm’s-length transaction with an unrelated third party. In 2024, these sales were to: </w:t>
      </w:r>
    </w:p>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200"/>
        <w:gridCol w:w="60"/>
        <w:gridCol w:w="34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arial" w:hAnsi="arial"/>
                <w:sz w:val="20"/>
              </w:rPr>
            </w:pPr>
            <w:r>
              <w:rPr>
                <w:rFonts w:ascii="arial" w:hAnsi="arial"/>
                <w:sz w:val="20"/>
              </w:rPr>
              <w:t xml:space="preserve">Edwards Investors affiliates: $492,798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200"/>
        <w:gridCol w:w="60"/>
        <w:gridCol w:w="83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0"/>
              <w:jc w:val="left"/>
              <w:rPr>
                <w:rFonts w:ascii="arial" w:hAnsi="arial"/>
                <w:sz w:val="20"/>
              </w:rPr>
            </w:pPr>
            <w:r>
              <w:rPr>
                <w:rFonts w:ascii="arial" w:hAnsi="arial"/>
                <w:sz w:val="20"/>
              </w:rPr>
              <w:t xml:space="preserve">Robert H. Schottenstein affiliates (including MI Homes, Inc. and affiliated entities): $24,105,558 </w:t>
            </w:r>
          </w:p>
        </w:tc>
      </w:tr>
    </w:tbl>
    <w:p>
      <w:pPr>
        <w:pStyle w:val="TextBody"/>
        <w:bidi w:val="0"/>
        <w:spacing w:before="240" w:after="0"/>
        <w:jc w:val="left"/>
        <w:rPr>
          <w:rFonts w:ascii="arial" w:hAnsi="arial"/>
          <w:b/>
          <w:color w:val="1F295C"/>
          <w:sz w:val="24"/>
        </w:rPr>
      </w:pPr>
      <w:bookmarkStart w:id="104" w:name="toc849638_77"/>
      <w:bookmarkEnd w:id="104"/>
      <w:r>
        <w:rPr>
          <w:rFonts w:ascii="arial" w:hAnsi="arial"/>
          <w:b/>
          <w:color w:val="1F295C"/>
          <w:sz w:val="24"/>
        </w:rPr>
        <w:t xml:space="preserve">Real Property Leases </w:t>
      </w:r>
    </w:p>
    <w:p>
      <w:pPr>
        <w:pStyle w:val="TextBody"/>
        <w:bidi w:val="0"/>
        <w:spacing w:before="240" w:after="0"/>
        <w:jc w:val="left"/>
        <w:rPr>
          <w:rFonts w:ascii="arial" w:hAnsi="arial"/>
          <w:sz w:val="20"/>
        </w:rPr>
      </w:pPr>
      <w:r>
        <w:rPr>
          <w:rFonts w:ascii="arial" w:hAnsi="arial"/>
          <w:sz w:val="20"/>
        </w:rPr>
        <w:t xml:space="preserve">Our headquarters building in Columbus, Ohio is subject to a master lease agreement between an unrelated third party owner and The Edwards Companies, LLC, an entity affiliated with the Edwards Investors, to which we pay rent payments. In 2024, we paid $709,999 in base rent payments to The Edwards Companies, LLC. </w:t>
      </w:r>
    </w:p>
    <w:p>
      <w:pPr>
        <w:pStyle w:val="TextBody"/>
        <w:bidi w:val="0"/>
        <w:spacing w:before="240" w:after="0"/>
        <w:jc w:val="left"/>
        <w:rPr>
          <w:rFonts w:ascii="arial" w:hAnsi="arial"/>
          <w:sz w:val="20"/>
        </w:rPr>
      </w:pPr>
      <w:r>
        <w:rPr>
          <w:rFonts w:ascii="arial" w:hAnsi="arial"/>
          <w:sz w:val="20"/>
        </w:rPr>
        <w:t xml:space="preserve">In 2024, we entered into a lease agreement with an affiliate of the Edwards Investors in connection with the relocation of our corporate headquarters. The relocation is planned to begin in the third quarter of 2025. No rent payments were made under the lease in 2024. </w:t>
      </w:r>
    </w:p>
    <w:p>
      <w:pPr>
        <w:pStyle w:val="TextBody"/>
        <w:bidi w:val="0"/>
        <w:spacing w:before="240" w:after="0"/>
        <w:jc w:val="left"/>
        <w:rPr>
          <w:rFonts w:ascii="arial" w:hAnsi="arial"/>
          <w:sz w:val="20"/>
        </w:rPr>
      </w:pPr>
      <w:r>
        <w:rPr>
          <w:rFonts w:ascii="arial" w:hAnsi="arial"/>
          <w:sz w:val="20"/>
        </w:rPr>
        <w:t xml:space="preserve">We lease two branch locations in Columbus, Ohio from Peter H. Edwards, an immediate family member of the Edwards Investors. We paid base rent payments for these facilities in 2024 of $265,769 and $265,769, respectively. </w:t>
      </w:r>
    </w:p>
    <w:p>
      <w:pPr>
        <w:pStyle w:val="TextBody"/>
        <w:bidi w:val="0"/>
        <w:spacing w:before="240" w:after="0"/>
        <w:jc w:val="left"/>
        <w:rPr>
          <w:rFonts w:ascii="arial" w:hAnsi="arial"/>
          <w:sz w:val="20"/>
        </w:rPr>
      </w:pPr>
      <w:r>
        <w:rPr>
          <w:rFonts w:ascii="arial" w:hAnsi="arial"/>
          <w:sz w:val="20"/>
        </w:rPr>
        <w:t xml:space="preserve">In each case under the applicable lease, we are also obligated to pay our proportionate share of certain common area maintenance charges, taxes, insurance premiums and other costs of operation, depending on the terms of the lease. </w:t>
      </w:r>
    </w:p>
    <w:p>
      <w:pPr>
        <w:pStyle w:val="TextBody"/>
        <w:bidi w:val="0"/>
        <w:spacing w:before="240" w:after="0"/>
        <w:jc w:val="left"/>
        <w:rPr>
          <w:rFonts w:ascii="arial" w:hAnsi="arial"/>
          <w:b/>
          <w:color w:val="1F295C"/>
          <w:sz w:val="24"/>
        </w:rPr>
      </w:pPr>
      <w:bookmarkStart w:id="105" w:name="toc849638_78"/>
      <w:bookmarkEnd w:id="105"/>
      <w:r>
        <w:rPr>
          <w:rFonts w:ascii="arial" w:hAnsi="arial"/>
          <w:b/>
          <w:color w:val="1F295C"/>
          <w:sz w:val="24"/>
        </w:rPr>
        <w:t xml:space="preserve">Aircraft Lease and Ownership Agreement </w:t>
      </w:r>
    </w:p>
    <w:p>
      <w:pPr>
        <w:pStyle w:val="TextBody"/>
        <w:bidi w:val="0"/>
        <w:spacing w:before="240" w:after="0"/>
        <w:jc w:val="left"/>
        <w:rPr>
          <w:rFonts w:ascii="arial" w:hAnsi="arial"/>
          <w:sz w:val="20"/>
        </w:rPr>
      </w:pPr>
      <w:r>
        <w:rPr>
          <w:rFonts w:ascii="arial" w:hAnsi="arial"/>
          <w:sz w:val="20"/>
        </w:rPr>
        <w:t xml:space="preserve">In 2019, we entered into an aircraft lease agreement with an affiliate of the Edwards Investors, pursuant to which we lease the use of an aircraft for business travel on a non-priority basis. The lease agreement automatically renews every 29 days unless terminated on ten days’ notice by either party and is updated for current rental rate charges each year. In 2024, we paid lease payments, including operating expenses, of $415,058. </w:t>
      </w:r>
    </w:p>
    <w:p>
      <w:pPr>
        <w:pStyle w:val="TextBody"/>
        <w:bidi w:val="0"/>
        <w:spacing w:before="240" w:after="0"/>
        <w:jc w:val="left"/>
        <w:rPr>
          <w:rFonts w:ascii="arial" w:hAnsi="arial"/>
          <w:sz w:val="20"/>
        </w:rPr>
      </w:pPr>
      <w:r>
        <w:rPr>
          <w:rFonts w:ascii="arial" w:hAnsi="arial"/>
          <w:sz w:val="20"/>
        </w:rPr>
        <w:t xml:space="preserve">In 2024, we purchased a 35% interest in an aircraft to be used for business travel, together with an affiliate of the Edwards Investors, who purchased a 15% interest, and an unrelated third party, who owns the remaining interest. In connection with that transaction, we entered into an aircraft co-ownership agreement to govern the respective rights and obligations of the owners. The agreement continues until the aircraft is sold or the agreement is terminated by the owners. In 2024, we paid $254,270 for our pro-rata share of ownership costs such as insurance, labor, hangar and office rent, licenses and registrations. </w:t>
      </w:r>
    </w:p>
    <w:p>
      <w:pPr>
        <w:pStyle w:val="TextBody"/>
        <w:bidi w:val="0"/>
        <w:spacing w:before="240" w:after="0"/>
        <w:jc w:val="left"/>
        <w:rPr>
          <w:rFonts w:ascii="arial" w:hAnsi="arial"/>
          <w:b/>
          <w:color w:val="1F295C"/>
          <w:sz w:val="24"/>
        </w:rPr>
      </w:pPr>
      <w:bookmarkStart w:id="106" w:name="toc849638_79"/>
      <w:bookmarkEnd w:id="106"/>
      <w:r>
        <w:rPr>
          <w:rFonts w:ascii="arial" w:hAnsi="arial"/>
          <w:b/>
          <w:color w:val="1F295C"/>
          <w:sz w:val="24"/>
        </w:rPr>
        <w:t xml:space="preserve">Share Repurchases </w:t>
      </w:r>
    </w:p>
    <w:p>
      <w:pPr>
        <w:pStyle w:val="TextBody"/>
        <w:bidi w:val="0"/>
        <w:spacing w:before="240" w:after="0"/>
        <w:jc w:val="left"/>
        <w:rPr>
          <w:rFonts w:ascii="arial" w:hAnsi="arial"/>
          <w:sz w:val="20"/>
        </w:rPr>
      </w:pPr>
      <w:r>
        <w:rPr>
          <w:rFonts w:ascii="arial" w:hAnsi="arial"/>
          <w:sz w:val="20"/>
        </w:rPr>
        <w:t xml:space="preserve">On each of August 14, 2024 and March 7, 2025, as part of our stock buyback program, we entered into a share repurchase agreement with PJAM IBP Holdings, Inc. (“PJAM”) for the purchase of 100,000 shares, or a total of 200,000 shares, of our common stock in a privately-negotiated transaction (the “Share Repurchases”). The aggregate purchase price for the Share Repurchase in August 2024 was approximately $20.7 million, or $206.90 per share, which was the last reported price of our common stock on August 13, 2024, less a discount of 3.0%. The aggregate purchase price for the Share Repurchase in March 2025 was approximately $16.9 million, or $168.75 per share, which was the last reported price of our common stock on March 6, 2025, less a discount of 3.0%. Jeff Edwards, our Chief Executive Officer, has beneficial ownership of the shares held by PJAM, an Edwards family entity.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Related Party Transactions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107" w:name="toc849638_80"/>
      <w:bookmarkEnd w:id="107"/>
      <w:r>
        <w:rPr>
          <w:rFonts w:ascii="arial" w:hAnsi="arial"/>
          <w:b/>
          <w:color w:val="1F295C"/>
          <w:sz w:val="24"/>
        </w:rPr>
        <w:t xml:space="preserve">Policies and Procedures for Related Party Transactions </w:t>
      </w:r>
    </w:p>
    <w:p>
      <w:pPr>
        <w:pStyle w:val="TextBody"/>
        <w:bidi w:val="0"/>
        <w:spacing w:before="240" w:after="0"/>
        <w:jc w:val="left"/>
        <w:rPr>
          <w:rFonts w:ascii="arial" w:hAnsi="arial"/>
          <w:sz w:val="20"/>
        </w:rPr>
      </w:pPr>
      <w:r>
        <w:rPr>
          <w:rFonts w:ascii="arial" w:hAnsi="arial"/>
          <w:sz w:val="20"/>
        </w:rPr>
        <w:t xml:space="preserve">Our Board of Directors has adopted a Related Party Transaction Policy (“Policy”) for the review and approval or ratification of certain related party transactions. The Policy is administered by the Audit Committee with the assistance of our General Counsel, Chief Financial Officer and Chief Accounting Officer. </w:t>
      </w:r>
    </w:p>
    <w:p>
      <w:pPr>
        <w:pStyle w:val="TextBody"/>
        <w:bidi w:val="0"/>
        <w:spacing w:before="240" w:after="0"/>
        <w:jc w:val="left"/>
        <w:rPr>
          <w:rFonts w:ascii="arial" w:hAnsi="arial"/>
          <w:sz w:val="20"/>
        </w:rPr>
      </w:pPr>
      <w:r>
        <w:rPr>
          <w:rFonts w:ascii="arial" w:hAnsi="arial"/>
          <w:sz w:val="20"/>
        </w:rPr>
        <w:t xml:space="preserve">The Policy applies to any transaction, arrangement or relationship (or any series of similar transactions, arrangements or relationships) in which the Company or one of our subsidiaries is a participant; the amount involved exceeds $120,000; and a Related Party (as defined below) had, has or will have a direct or indirect material interest. Any transaction meeting these criteria is a “Related Party Transaction.” </w:t>
      </w:r>
    </w:p>
    <w:p>
      <w:pPr>
        <w:pStyle w:val="TextBody"/>
        <w:bidi w:val="0"/>
        <w:spacing w:before="240" w:after="0"/>
        <w:jc w:val="left"/>
        <w:rPr>
          <w:rFonts w:ascii="arial" w:hAnsi="arial"/>
          <w:sz w:val="20"/>
        </w:rPr>
      </w:pPr>
      <w:r>
        <w:rPr>
          <w:rFonts w:ascii="arial" w:hAnsi="arial"/>
          <w:sz w:val="20"/>
        </w:rPr>
        <w:t xml:space="preserve">Under the Policy, a “Related Party” is any person who: (i) is, or, at any time since the beginning of our last fiscal year, was, a director, executive officer or director nominee, or an immediate family member of any such person; or (ii) is known by us to be the beneficial owner of more than 5% of our common stock, or an immediate family member of such person. </w:t>
      </w:r>
    </w:p>
    <w:p>
      <w:pPr>
        <w:pStyle w:val="TextBody"/>
        <w:bidi w:val="0"/>
        <w:spacing w:before="240" w:after="0"/>
        <w:jc w:val="left"/>
        <w:rPr>
          <w:rFonts w:ascii="arial" w:hAnsi="arial"/>
          <w:sz w:val="20"/>
        </w:rPr>
      </w:pPr>
      <w:r>
        <w:rPr>
          <w:rFonts w:ascii="arial" w:hAnsi="arial"/>
          <w:sz w:val="20"/>
        </w:rPr>
        <w:t xml:space="preserve">Prior to entering into a potential Related Party Transaction, the Related Party (or the person whose immediate family member is the Related Party) or any member of management aware of the transaction must provide notice of the facts and circumstances of the proposed transaction to our General Counsel, Chief Financial Officer or Chief Accounting Officer, who will assess whether the proposed transaction is subject to the Policy. If it is determined that the proposed transaction is a Related Party Transaction, it is submitted to the Audit Committee for consideration at its next meeting. If it is not practicable or desirable to wait until the next Audit Committee meeting, the transaction may be submitted to the Chair of the Audit Committee for consideration (with any action taken by the Chair reported to the Audit Committee at its next regular meeting). </w:t>
      </w:r>
    </w:p>
    <w:p>
      <w:pPr>
        <w:pStyle w:val="TextBody"/>
        <w:bidi w:val="0"/>
        <w:spacing w:before="240" w:after="0"/>
        <w:jc w:val="left"/>
        <w:rPr>
          <w:rFonts w:ascii="arial" w:hAnsi="arial"/>
          <w:sz w:val="20"/>
        </w:rPr>
      </w:pPr>
      <w:r>
        <w:rPr>
          <w:rFonts w:ascii="arial" w:hAnsi="arial"/>
          <w:sz w:val="20"/>
        </w:rPr>
        <w:t xml:space="preserve">When considering a proposed Related Party Transaction, the Audit Committee reviews all of the relevant available facts and circumstances, including: </w:t>
      </w:r>
    </w:p>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75"/>
        <w:gridCol w:w="200"/>
        <w:gridCol w:w="60"/>
        <w:gridCol w:w="41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arial" w:hAnsi="arial"/>
                <w:sz w:val="20"/>
              </w:rPr>
            </w:pPr>
            <w:r>
              <w:rPr>
                <w:rFonts w:ascii="arial" w:hAnsi="arial"/>
                <w:sz w:val="20"/>
              </w:rPr>
              <w:t xml:space="preserve">the benefits of the transaction to the Company;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75"/>
        <w:gridCol w:w="200"/>
        <w:gridCol w:w="60"/>
        <w:gridCol w:w="36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arial" w:hAnsi="arial"/>
                <w:sz w:val="20"/>
              </w:rPr>
            </w:pPr>
            <w:r>
              <w:rPr>
                <w:rFonts w:ascii="arial" w:hAnsi="arial"/>
                <w:sz w:val="20"/>
              </w:rPr>
              <w:t xml:space="preserve">any impact on a director’s independence;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75"/>
        <w:gridCol w:w="200"/>
        <w:gridCol w:w="60"/>
        <w:gridCol w:w="71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arial" w:hAnsi="arial"/>
                <w:sz w:val="20"/>
              </w:rPr>
            </w:pPr>
            <w:r>
              <w:rPr>
                <w:rFonts w:ascii="arial" w:hAnsi="arial"/>
                <w:sz w:val="20"/>
              </w:rPr>
              <w:t xml:space="preserve">the availability of other sellers or purchasers of comparable products or services;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75"/>
        <w:gridCol w:w="200"/>
        <w:gridCol w:w="60"/>
        <w:gridCol w:w="25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arial" w:hAnsi="arial"/>
                <w:sz w:val="20"/>
              </w:rPr>
            </w:pPr>
            <w:r>
              <w:rPr>
                <w:rFonts w:ascii="arial" w:hAnsi="arial"/>
                <w:sz w:val="20"/>
              </w:rPr>
              <w:t xml:space="preserve">the terms of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whether the transaction is on terms comparable to those obtainable in an arm’s-length transaction with an unrelated party; and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200"/>
        <w:gridCol w:w="60"/>
        <w:gridCol w:w="52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arial" w:hAnsi="arial"/>
                <w:sz w:val="20"/>
              </w:rPr>
            </w:pPr>
            <w:r>
              <w:rPr>
                <w:rFonts w:ascii="arial" w:hAnsi="arial"/>
                <w:sz w:val="20"/>
              </w:rPr>
              <w:t xml:space="preserve">the extent of the Related Party’s interest in the transaction. </w:t>
            </w:r>
          </w:p>
        </w:tc>
      </w:tr>
    </w:tbl>
    <w:p>
      <w:pPr>
        <w:pStyle w:val="TextBody"/>
        <w:bidi w:val="0"/>
        <w:spacing w:before="240" w:after="0"/>
        <w:jc w:val="left"/>
        <w:rPr>
          <w:rFonts w:ascii="arial" w:hAnsi="arial"/>
          <w:sz w:val="20"/>
        </w:rPr>
      </w:pPr>
      <w:r>
        <w:rPr>
          <w:rFonts w:ascii="arial" w:hAnsi="arial"/>
          <w:sz w:val="20"/>
        </w:rPr>
        <w:t xml:space="preserve">The Audit Committee will approve a Related Party Transaction if it determines that the transaction is in, or is not inconsistent with, the best interests of the Company and our stockholders. No member of the Audit Committee may participate in the consideration or approval of a transaction as to which he or she or any member of his or her immediate family is the Related Party, but may participate in the discussion of the transaction at the Audit Committee meeting if requested by the Chair of the Audit Committee. </w:t>
      </w:r>
    </w:p>
    <w:p>
      <w:pPr>
        <w:pStyle w:val="TextBody"/>
        <w:bidi w:val="0"/>
        <w:spacing w:before="240" w:after="0"/>
        <w:jc w:val="left"/>
        <w:rPr>
          <w:rFonts w:ascii="arial" w:hAnsi="arial"/>
          <w:sz w:val="20"/>
        </w:rPr>
      </w:pPr>
      <w:r>
        <w:rPr>
          <w:rFonts w:ascii="arial" w:hAnsi="arial"/>
          <w:sz w:val="20"/>
        </w:rPr>
        <w:t xml:space="preserve">The Related Party Transaction Policy prohibits the Company from directly or indirectly extending credit to, arranging for the extension of credit for, or renewing an extension of credit, in each case in the form of a personal loan, to any director or executive officer of the Company, except in the case of a trade receivable relating to work performed by the Company for the director or executive officer or an affiliate thereof in the ordinary course of the Company’s business on terms comparable to those that could be obtained in an arm’s length transaction with an unrelated party. </w:t>
      </w:r>
    </w:p>
    <w:p>
      <w:pPr>
        <w:pStyle w:val="TextBody"/>
        <w:bidi w:val="0"/>
        <w:spacing w:before="240" w:after="0"/>
        <w:jc w:val="left"/>
        <w:rPr>
          <w:rFonts w:ascii="arial" w:hAnsi="arial"/>
          <w:sz w:val="20"/>
        </w:rPr>
      </w:pPr>
      <w:r>
        <w:rPr>
          <w:rFonts w:ascii="arial" w:hAnsi="arial"/>
          <w:sz w:val="20"/>
        </w:rPr>
        <w:t xml:space="preserve">If a director or a member of management becomes aware of a Related Party Transaction that has not been approved by the Audit Committee, he or she must promptly notify our General Counsel, Chief Financial Officer or Chief Accounting Officer. If the transaction is pending or ongoing, it is submitted to the Audit Committee for review, and the Audit Committee will consider the relevant facts and circumstances and evaluate all options, including ratification, amendment or termination of the transaction. If the transaction is completed, the Audit Committee will determine if rescission of the transaction and/or disciplinary action is appropriate. </w:t>
      </w:r>
    </w:p>
    <w:p>
      <w:pPr>
        <w:pStyle w:val="TextBody"/>
        <w:bidi w:val="0"/>
        <w:spacing w:before="240" w:after="0"/>
        <w:jc w:val="left"/>
        <w:rPr>
          <w:rFonts w:ascii="arial" w:hAnsi="arial"/>
          <w:sz w:val="20"/>
        </w:rPr>
      </w:pPr>
      <w:r>
        <w:rPr>
          <w:rFonts w:ascii="arial" w:hAnsi="arial"/>
          <w:sz w:val="20"/>
        </w:rPr>
        <w:t xml:space="preserve">All of the transactions described in this section were approved by the Audit Committee in accordance with the Policy.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Related Party Transactions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bookmarkStart w:id="108" w:name="toc849638_81"/>
      <w:bookmarkEnd w:id="108"/>
      <w:r>
        <w:rPr>
          <w:rFonts w:ascii="Times New Roman" w:hAnsi="Times New Roman"/>
          <w:b/>
          <w:color w:val="1070B8"/>
          <w:sz w:val="44"/>
        </w:rPr>
        <w:t xml:space="preserve">STOCKHOLDER PROPOSALS FOR THE 2026 ANNUAL MEETING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240" w:after="0"/>
        <w:jc w:val="left"/>
        <w:rPr>
          <w:rFonts w:ascii="arial" w:hAnsi="arial"/>
          <w:b/>
          <w:color w:val="1F295C"/>
          <w:sz w:val="24"/>
        </w:rPr>
      </w:pPr>
      <w:bookmarkStart w:id="109" w:name="toc849638_82"/>
      <w:bookmarkEnd w:id="109"/>
      <w:r>
        <w:rPr>
          <w:rFonts w:ascii="arial" w:hAnsi="arial"/>
          <w:b/>
          <w:color w:val="1F295C"/>
          <w:sz w:val="24"/>
        </w:rPr>
        <w:t xml:space="preserve">Proposals for Inclusion in our 2026 Proxy Statement </w:t>
      </w:r>
    </w:p>
    <w:p>
      <w:pPr>
        <w:pStyle w:val="TextBody"/>
        <w:bidi w:val="0"/>
        <w:spacing w:before="240" w:after="0"/>
        <w:jc w:val="left"/>
        <w:rPr>
          <w:rFonts w:ascii="arial" w:hAnsi="arial"/>
          <w:sz w:val="20"/>
        </w:rPr>
      </w:pPr>
      <w:r>
        <w:rPr>
          <w:rFonts w:ascii="arial" w:hAnsi="arial"/>
          <w:sz w:val="20"/>
        </w:rPr>
        <w:t xml:space="preserve">SEC Rule 14a-8 permits stockholders to submit proposals for inclusion in our proxy statement if the stockholders and the proposals meet certain requirements specified in the rule. If a stockholder wishes to present a proposal to be included in our proxy statement for our 2026 Annual Meeting of Stockholders (the “2026 Annual Meeting”), the proposal must be received in writing by our Corporate Secretary at Installed Building Products, Inc., 495 South High Street, Suite 50, Columbus, Ohio 43215 no later than December 9, 2025 . Proposals must conform to and include the information required by SEC Rule 14a-8. </w:t>
      </w:r>
      <w:r>
        <w:rPr>
          <w:rFonts w:ascii="arial" w:hAnsi="arial"/>
          <w:i/>
          <w:sz w:val="20"/>
        </w:rPr>
        <w:t>See also</w:t>
      </w:r>
      <w:r>
        <w:rPr>
          <w:rFonts w:ascii="arial" w:hAnsi="arial"/>
          <w:sz w:val="20"/>
        </w:rPr>
        <w:t xml:space="preserve"> Article I, Section 1.03 of our Bylaws. </w:t>
      </w:r>
    </w:p>
    <w:p>
      <w:pPr>
        <w:pStyle w:val="TextBody"/>
        <w:bidi w:val="0"/>
        <w:spacing w:before="240" w:after="0"/>
        <w:jc w:val="left"/>
        <w:rPr>
          <w:rFonts w:ascii="arial" w:hAnsi="arial"/>
          <w:b/>
          <w:color w:val="1F295C"/>
          <w:sz w:val="24"/>
        </w:rPr>
      </w:pPr>
      <w:bookmarkStart w:id="110" w:name="toc849638_83"/>
      <w:bookmarkEnd w:id="110"/>
      <w:r>
        <w:rPr>
          <w:rFonts w:ascii="arial" w:hAnsi="arial"/>
          <w:b/>
          <w:color w:val="1F295C"/>
          <w:sz w:val="24"/>
        </w:rPr>
        <w:t xml:space="preserve">Director Nominees for Inclusion in our 2026 Proxy Statement </w:t>
      </w:r>
    </w:p>
    <w:p>
      <w:pPr>
        <w:pStyle w:val="TextBody"/>
        <w:bidi w:val="0"/>
        <w:spacing w:before="240" w:after="0"/>
        <w:jc w:val="left"/>
        <w:rPr>
          <w:rFonts w:ascii="arial" w:hAnsi="arial"/>
          <w:sz w:val="20"/>
        </w:rPr>
      </w:pPr>
      <w:r>
        <w:rPr>
          <w:rFonts w:ascii="arial" w:hAnsi="arial"/>
          <w:sz w:val="20"/>
        </w:rPr>
        <w:t xml:space="preserve">In order to nominate a candidate for director at our 2026 Annual Meeting, stockholders must comply with Article I, Section 1.03 of our Bylaws. Stockholders wishing to nominate a candidate for director must provide notice no earlier than the close of business on January 20, 2026 , and no later than the close of business on February 19, 2026. If the 2026 Annual Meeting is more than 30 days before, or more than 70 days after, the anniversary of this Annual Meeting, then notice must be received no earlier than the close of business 120 days prior to the 2026 Annual Meeting and no later than the close of business 90 days prior to the 2026 Annual Meeting (or 10 days following the date on which we publicly disclose the date of the 2026 Annual Meeting). Under our Bylaws, if the number of directors to be elected at an annual meeting of stockholders is increased and we do not make a public announcement naming the nominees for the additional directorship(s) at least 100 days prior to the anniversary of the previous year’s annual meeting, a stockholder nomination with respect to the additional directorship(s) will be considered timely if delivered to our Corporate Secretary no later than 10 days following the date when we publicly announce the increase in the number of directors. </w:t>
      </w:r>
    </w:p>
    <w:p>
      <w:pPr>
        <w:pStyle w:val="TextBody"/>
        <w:bidi w:val="0"/>
        <w:spacing w:before="240" w:after="0"/>
        <w:jc w:val="left"/>
        <w:rPr>
          <w:rFonts w:ascii="arial" w:hAnsi="arial"/>
          <w:sz w:val="20"/>
        </w:rPr>
      </w:pPr>
      <w:r>
        <w:rPr>
          <w:rFonts w:ascii="arial" w:hAnsi="arial"/>
          <w:sz w:val="20"/>
        </w:rPr>
        <w:t xml:space="preserve">All stockholder nominations must set forth the information specified in Article I, Section 1.03 of our Bylaws and must be submitted in writing to our Corporate Secretary, Installed Building Products, Inc., 495 South High Street, Suite 50, Columbus, Ohio 43215. In addition to satisfying the requirements under our Bylaws, stockholders who intend to solicit proxies in support of director nominees other than the Company’s nominees must provide notice that sets forth the information required by Rule 14a-19 under the Exchange Act no later than March 21, 2026. </w:t>
      </w:r>
    </w:p>
    <w:p>
      <w:pPr>
        <w:pStyle w:val="TextBody"/>
        <w:bidi w:val="0"/>
        <w:spacing w:before="240" w:after="0"/>
        <w:jc w:val="left"/>
        <w:rPr>
          <w:rFonts w:ascii="arial" w:hAnsi="arial"/>
          <w:sz w:val="20"/>
        </w:rPr>
      </w:pPr>
      <w:r>
        <w:rPr>
          <w:rFonts w:ascii="arial" w:hAnsi="arial"/>
          <w:sz w:val="20"/>
        </w:rPr>
        <w:t xml:space="preserve">A copy of our Bylaws may be obtained without charge from our Corporate Secretary at Installed Building Products, Inc., 495 South High Street, Suite 50, Columbus, Ohio 43215, or may be found on our website at </w:t>
      </w:r>
      <w:r>
        <w:rPr>
          <w:rFonts w:ascii="arial" w:hAnsi="arial"/>
          <w:i/>
          <w:color w:val="1070B8"/>
          <w:sz w:val="20"/>
          <w:u w:val="single"/>
        </w:rPr>
        <w:t>www.installedbuildingproducts.com</w:t>
      </w:r>
      <w:r>
        <w:rPr>
          <w:rFonts w:ascii="arial" w:hAnsi="arial"/>
          <w:sz w:val="20"/>
        </w:rPr>
        <w:t xml:space="preserve"> under the “Investors” section. A nomination or proposal that does not comply with our Bylaws and/or applicable SEC rules may be excluded from our proxy materials in accordance with applicable SEC rules. Please carefully review our Bylaws and applicable SEC rules prior to submitting any nominations or proposals. </w:t>
      </w:r>
    </w:p>
    <w:p>
      <w:pPr>
        <w:pStyle w:val="TextBody"/>
        <w:bidi w:val="0"/>
        <w:spacing w:before="240" w:after="0"/>
        <w:jc w:val="left"/>
        <w:rPr>
          <w:rFonts w:ascii="arial" w:hAnsi="arial"/>
          <w:b/>
          <w:color w:val="1F295C"/>
          <w:sz w:val="24"/>
        </w:rPr>
      </w:pPr>
      <w:bookmarkStart w:id="111" w:name="toc849638_84"/>
      <w:bookmarkEnd w:id="111"/>
      <w:r>
        <w:rPr>
          <w:rFonts w:ascii="arial" w:hAnsi="arial"/>
          <w:b/>
          <w:color w:val="1F295C"/>
          <w:sz w:val="24"/>
        </w:rPr>
        <w:t xml:space="preserve">Other Proposals for the 2026 Annual Meeting </w:t>
      </w:r>
    </w:p>
    <w:p>
      <w:pPr>
        <w:pStyle w:val="TextBody"/>
        <w:bidi w:val="0"/>
        <w:spacing w:before="240" w:after="0"/>
        <w:jc w:val="left"/>
        <w:rPr>
          <w:rFonts w:ascii="arial" w:hAnsi="arial"/>
          <w:sz w:val="20"/>
        </w:rPr>
      </w:pPr>
      <w:r>
        <w:rPr>
          <w:rFonts w:ascii="arial" w:hAnsi="arial"/>
          <w:sz w:val="20"/>
        </w:rPr>
        <w:t xml:space="preserve">Article I, Section 1.03 of our Bylaws requires that any stockholder wishing to submit a proposal that is not intended for inclusion in our 2026 proxy statement, but is instead sought to be presented directly at the 2026 Annual Meeting, must provide notice in writing to our Corporate Secretary, Installed Building Products, Inc., 495 South High Street, Suite 50, Columbus, Ohio 43215 no later than the close of business on December 9, 2025. If the 2026 Annual Meeting is more than 30 days before, or more than 70 days after, the anniversary of this Annual Meeting, then notice must be received no earlier than the close of business 120 days prior to the 2026 Annual Meeting and no later than the close of business 90 days prior to the 2026 Annual Meeting (or 10 days following the date on which we publicly disclose the date of the 2026 Annual Meeting). The notice must provide the information required by Article I, Section 1.03 of our Bylaws.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Stockholder Proposals for the 2026 Annual Meeting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bookmarkStart w:id="112" w:name="toc849638_85"/>
      <w:bookmarkEnd w:id="112"/>
      <w:r>
        <w:rPr>
          <w:rFonts w:ascii="Times New Roman" w:hAnsi="Times New Roman"/>
          <w:b/>
          <w:color w:val="1070B8"/>
          <w:sz w:val="44"/>
        </w:rPr>
        <w:t xml:space="preserve">ADDITIONAL INFORMATION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240" w:after="0"/>
        <w:jc w:val="left"/>
        <w:rPr>
          <w:rFonts w:ascii="arial" w:hAnsi="arial"/>
          <w:b/>
          <w:color w:val="1F295C"/>
          <w:sz w:val="24"/>
        </w:rPr>
      </w:pPr>
      <w:bookmarkStart w:id="113" w:name="toc849638_86"/>
      <w:bookmarkEnd w:id="113"/>
      <w:r>
        <w:rPr>
          <w:rFonts w:ascii="arial" w:hAnsi="arial"/>
          <w:b/>
          <w:color w:val="1F295C"/>
          <w:sz w:val="24"/>
        </w:rPr>
        <w:t xml:space="preserve">Householding of Proxy Materials </w:t>
      </w:r>
    </w:p>
    <w:p>
      <w:pPr>
        <w:pStyle w:val="TextBody"/>
        <w:bidi w:val="0"/>
        <w:spacing w:before="240" w:after="0"/>
        <w:jc w:val="left"/>
        <w:rPr>
          <w:rFonts w:ascii="arial" w:hAnsi="arial"/>
          <w:sz w:val="20"/>
        </w:rPr>
      </w:pPr>
      <w:r>
        <w:rPr>
          <w:rFonts w:ascii="arial" w:hAnsi="arial"/>
          <w:sz w:val="20"/>
        </w:rPr>
        <w:t xml:space="preserve">We have adopted a “householding” procedure, approved by the SEC, relating to the delivery of our proxy materials, which conserves natural resources and reduces our printing and mailing costs. Under this procedure, stockholders with the same last name and address will receive only one copy of our proxy materials unless we receive instructions to the contrary from any stockholder at that address. A stockholder who wishes to receive a separate copy of our proxy materials, or wishes to stop receiving separate copies of our proxy materials, may make a request by writing to Computershare Investor Services, P.O. Box 43006, Providence, Rhode Island 02940-3006 or by calling (781) 575-3100. </w:t>
      </w:r>
    </w:p>
    <w:p>
      <w:pPr>
        <w:pStyle w:val="TextBody"/>
        <w:bidi w:val="0"/>
        <w:spacing w:before="240" w:after="0"/>
        <w:jc w:val="left"/>
        <w:rPr>
          <w:rFonts w:ascii="arial" w:hAnsi="arial"/>
          <w:sz w:val="20"/>
        </w:rPr>
      </w:pPr>
      <w:r>
        <w:rPr>
          <w:rFonts w:ascii="arial" w:hAnsi="arial"/>
          <w:sz w:val="20"/>
        </w:rPr>
        <w:t xml:space="preserve">A number of brokerage firms have also instituted householding. If you and members of your household have multiple accounts holding shares of our common stock, you may have received a householding notification from your broker, bank or other nominee. Please contact that organization if you have questions or wish to opt in our opt out of householding. </w:t>
      </w:r>
    </w:p>
    <w:p>
      <w:pPr>
        <w:pStyle w:val="TextBody"/>
        <w:bidi w:val="0"/>
        <w:spacing w:before="240" w:after="0"/>
        <w:jc w:val="left"/>
        <w:rPr>
          <w:rFonts w:ascii="arial" w:hAnsi="arial"/>
          <w:b/>
          <w:color w:val="1F295C"/>
          <w:sz w:val="24"/>
        </w:rPr>
      </w:pPr>
      <w:bookmarkStart w:id="114" w:name="toc849638_87"/>
      <w:bookmarkEnd w:id="114"/>
      <w:r>
        <w:rPr>
          <w:rFonts w:ascii="arial" w:hAnsi="arial"/>
          <w:b/>
          <w:color w:val="1F295C"/>
          <w:sz w:val="24"/>
        </w:rPr>
        <w:t xml:space="preserve">Solicitation of Proxies </w:t>
      </w:r>
    </w:p>
    <w:p>
      <w:pPr>
        <w:pStyle w:val="TextBody"/>
        <w:bidi w:val="0"/>
        <w:spacing w:before="240" w:after="0"/>
        <w:jc w:val="left"/>
        <w:rPr>
          <w:rFonts w:ascii="arial" w:hAnsi="arial"/>
          <w:sz w:val="20"/>
        </w:rPr>
      </w:pPr>
      <w:r>
        <w:rPr>
          <w:rFonts w:ascii="arial" w:hAnsi="arial"/>
          <w:sz w:val="20"/>
        </w:rPr>
        <w:t xml:space="preserve">Our Board of Directors is soliciting your vote for the proposals being submitted at the Annual Meeting. Solicitation is being made by mail or internet but could also be made by our directors, officers and select other employees telephonically, electronically or by other means of communication. The Company will bear the cost of soliciting proxies. Directors, officers and employees who assist in the solicitation will not be compensated for those services, but may be reimbursed for out-of-pocket expenses. We are requesting brokers, banks and other nominees to forward our proxy materials to beneficial owners and will reimburse them for their reasonable out-of-pocket expenses. </w:t>
      </w:r>
    </w:p>
    <w:p>
      <w:pPr>
        <w:pStyle w:val="TextBody"/>
        <w:bidi w:val="0"/>
        <w:spacing w:before="240" w:after="0"/>
        <w:jc w:val="left"/>
        <w:rPr>
          <w:rFonts w:ascii="arial" w:hAnsi="arial"/>
          <w:b/>
          <w:color w:val="1F295C"/>
          <w:sz w:val="24"/>
        </w:rPr>
      </w:pPr>
      <w:bookmarkStart w:id="115" w:name="toc849638_88"/>
      <w:bookmarkEnd w:id="115"/>
      <w:r>
        <w:rPr>
          <w:rFonts w:ascii="arial" w:hAnsi="arial"/>
          <w:b/>
          <w:color w:val="1F295C"/>
          <w:sz w:val="24"/>
        </w:rPr>
        <w:t xml:space="preserve">Incorporation by Reference </w:t>
      </w:r>
    </w:p>
    <w:p>
      <w:pPr>
        <w:pStyle w:val="TextBody"/>
        <w:bidi w:val="0"/>
        <w:spacing w:before="240" w:after="0"/>
        <w:jc w:val="left"/>
        <w:rPr>
          <w:rFonts w:ascii="arial" w:hAnsi="arial"/>
          <w:sz w:val="20"/>
        </w:rPr>
      </w:pPr>
      <w:r>
        <w:rPr>
          <w:rFonts w:ascii="arial" w:hAnsi="arial"/>
          <w:sz w:val="20"/>
        </w:rPr>
        <w:t xml:space="preserve">The CHC Committee Report and the Audit Committee Report included in this Proxy Statement are not “soliciting material,” and are not deemed filed with the SEC. The reports shall not be deemed incorporated by reference into any of our prior or future filings made with the SEC except to the extent that we specifically incorporate such reports by reference. Any references in this Proxy Statement to website addresses are intended to provide textual references only. Information contained on our website or any other website that may be referenced herein is not incorporated into this Proxy Statement. </w:t>
      </w:r>
    </w:p>
    <w:p>
      <w:pPr>
        <w:pStyle w:val="TextBody"/>
        <w:bidi w:val="0"/>
        <w:spacing w:before="240" w:after="0"/>
        <w:jc w:val="left"/>
        <w:rPr>
          <w:rFonts w:ascii="arial" w:hAnsi="arial"/>
          <w:b/>
          <w:color w:val="1F295C"/>
          <w:sz w:val="24"/>
        </w:rPr>
      </w:pPr>
      <w:bookmarkStart w:id="116" w:name="toc849638_89"/>
      <w:bookmarkEnd w:id="116"/>
      <w:r>
        <w:rPr>
          <w:rFonts w:ascii="arial" w:hAnsi="arial"/>
          <w:b/>
          <w:color w:val="1F295C"/>
          <w:sz w:val="24"/>
        </w:rPr>
        <w:t xml:space="preserve">Forward Looking Statements </w:t>
      </w:r>
    </w:p>
    <w:p>
      <w:pPr>
        <w:pStyle w:val="TextBody"/>
        <w:bidi w:val="0"/>
        <w:spacing w:before="240" w:after="0"/>
        <w:jc w:val="left"/>
        <w:rPr>
          <w:rFonts w:ascii="arial" w:hAnsi="arial"/>
          <w:sz w:val="20"/>
        </w:rPr>
      </w:pPr>
      <w:r>
        <w:rPr>
          <w:rFonts w:ascii="arial" w:hAnsi="arial"/>
          <w:sz w:val="20"/>
        </w:rPr>
        <w:t xml:space="preserve">This Proxy Statement contains certain forward-looking statements, including with respect to the housing and commercial construction market, industry conditions, our operations, our ESG related initiatives and performance, our business model, expansion of our footprint and end markets, our product diversification and our pursuit of value enhancing acquisitions. By their nature, forward-looking statements involve risks and uncertainties because they relate to events and depend on circumstances that may or may not occur in the future. These statements are based on management’s current expectations, beliefs, estimates and projections. These statements include matters that are not historical facts, are not guarantees and are subject to certain uncertainties and other factors, many of which are beyond our control. Please refer to our Annual Report on Form 10-K for the year ended December 31, 2024, including the sections captioned “Risk Factors” and “Information Regarding Forward-Looking Statements and Risk Factors Summary” for a description of the risks and uncertainties related to any forward-looking statements included herein. Our actual performance, including the development of any program or initiative, may differ materially in the future. Forward-looking and other statements in this Proxy Statement regarding our ESG and sustainability plans and goals are not an indication that these statements are material to investors or required to be disclosed in our filings with the SEC. Historical, current, and forward-looking ESG and sustainability-related statements may be based on standards for measuring progress that are still developing, internal controls and processes that continue to evolve, and assumptions that are subject to change in the future.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Additional Information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117" w:name="toc849638_90"/>
      <w:bookmarkEnd w:id="117"/>
      <w:r>
        <w:rPr>
          <w:rFonts w:ascii="arial" w:hAnsi="arial"/>
          <w:b/>
          <w:color w:val="1F295C"/>
          <w:sz w:val="24"/>
        </w:rPr>
        <w:t xml:space="preserve">Availability of SEC Filings and Corporate Governance Documents </w:t>
      </w:r>
    </w:p>
    <w:p>
      <w:pPr>
        <w:pStyle w:val="TextBody"/>
        <w:bidi w:val="0"/>
        <w:spacing w:before="240" w:after="0"/>
        <w:jc w:val="left"/>
        <w:rPr>
          <w:rFonts w:ascii="arial" w:hAnsi="arial"/>
          <w:sz w:val="20"/>
        </w:rPr>
      </w:pPr>
      <w:r>
        <w:rPr>
          <w:rFonts w:ascii="arial" w:hAnsi="arial"/>
          <w:sz w:val="20"/>
        </w:rPr>
        <w:t xml:space="preserve">Copies of our SEC filings on Forms 10-K, 10-Q and 8-K, and any amendments to those reports, as well as copies of our governing documents, ESG policies and reports of beneficial ownership of our common stock filed by our executive officers, directors and beneficial owners of more than 10% of our outstanding common stock are available on our website at </w:t>
      </w:r>
      <w:r>
        <w:rPr>
          <w:rFonts w:ascii="arial" w:hAnsi="arial"/>
          <w:i/>
          <w:color w:val="1070B8"/>
          <w:sz w:val="20"/>
          <w:u w:val="single"/>
        </w:rPr>
        <w:t>www.installedbuildingsproducts.com</w:t>
      </w:r>
      <w:r>
        <w:rPr>
          <w:rFonts w:ascii="arial" w:hAnsi="arial"/>
          <w:sz w:val="20"/>
        </w:rPr>
        <w:t xml:space="preserve"> under the “Investors” section. This information may also be requested at no cost by calling (614) 221-3399, by emailing </w:t>
      </w:r>
      <w:r>
        <w:rPr>
          <w:rFonts w:ascii="arial" w:hAnsi="arial"/>
          <w:i/>
          <w:color w:val="1070B8"/>
          <w:sz w:val="20"/>
          <w:u w:val="single"/>
        </w:rPr>
        <w:t>InvestorRelations@installed.net</w:t>
      </w:r>
      <w:r>
        <w:rPr>
          <w:rFonts w:ascii="arial" w:hAnsi="arial"/>
          <w:sz w:val="20"/>
        </w:rPr>
        <w:t xml:space="preserve"> or by mailing Installed Building Products, Inc., 495 South High Street, Suite 50, Columbus, Ohio 43215, Attention: Investor Relations. </w:t>
      </w:r>
    </w:p>
    <w:p>
      <w:pPr>
        <w:pStyle w:val="TextBody"/>
        <w:bidi w:val="0"/>
        <w:spacing w:before="240" w:after="0"/>
        <w:jc w:val="left"/>
        <w:rPr>
          <w:rFonts w:ascii="arial" w:hAnsi="arial"/>
          <w:b/>
          <w:color w:val="1F295C"/>
          <w:sz w:val="24"/>
        </w:rPr>
      </w:pPr>
      <w:bookmarkStart w:id="118" w:name="toc849638_91"/>
      <w:bookmarkEnd w:id="118"/>
      <w:r>
        <w:rPr>
          <w:rFonts w:ascii="arial" w:hAnsi="arial"/>
          <w:b/>
          <w:color w:val="1F295C"/>
          <w:sz w:val="24"/>
        </w:rPr>
        <w:t xml:space="preserve">Use of Non-GAAP Financial Measures </w:t>
      </w:r>
    </w:p>
    <w:p>
      <w:pPr>
        <w:pStyle w:val="TextBody"/>
        <w:bidi w:val="0"/>
        <w:spacing w:before="240" w:after="0"/>
        <w:jc w:val="left"/>
        <w:rPr>
          <w:rFonts w:ascii="arial" w:hAnsi="arial"/>
          <w:sz w:val="20"/>
        </w:rPr>
      </w:pPr>
      <w:r>
        <w:rPr>
          <w:rFonts w:ascii="arial" w:hAnsi="arial"/>
          <w:sz w:val="20"/>
        </w:rPr>
        <w:t xml:space="preserve">This Proxy Statement uses the financial measure of “Adjusted EBITDA,” which is not calculated in accordance with GAAP. The reasons for the use of this measure and reconciliation to the most directly comparable GAAP measure is set forth below. </w:t>
      </w:r>
    </w:p>
    <w:p>
      <w:pPr>
        <w:pStyle w:val="TextBody"/>
        <w:bidi w:val="0"/>
        <w:spacing w:before="240" w:after="0"/>
        <w:jc w:val="left"/>
        <w:rPr>
          <w:rFonts w:ascii="arial" w:hAnsi="arial"/>
          <w:sz w:val="20"/>
        </w:rPr>
      </w:pPr>
      <w:r>
        <w:rPr>
          <w:rFonts w:ascii="arial" w:hAnsi="arial"/>
          <w:sz w:val="20"/>
        </w:rPr>
        <w:t xml:space="preserve">Adjusted EBITDA measures performance by adjusting EBITDA for certain income or expense items that are not considered part of our core operations. We believe that this measure assists both management and the CHC Committee in analyzing and benchmarking the performance and value of our business and the performance of our executive team. We use Adjusted EBITDA-based measures in determining the achievement of awards under our executive incentive compensation programs. </w:t>
      </w:r>
    </w:p>
    <w:p>
      <w:pPr>
        <w:pStyle w:val="TextBody"/>
        <w:bidi w:val="0"/>
        <w:spacing w:before="240" w:after="0"/>
        <w:jc w:val="left"/>
        <w:rPr>
          <w:rFonts w:ascii="arial" w:hAnsi="arial"/>
          <w:sz w:val="20"/>
        </w:rPr>
      </w:pPr>
      <w:r>
        <w:rPr>
          <w:rFonts w:ascii="arial" w:hAnsi="arial"/>
          <w:sz w:val="20"/>
        </w:rPr>
        <w:t xml:space="preserve">We believe the Adjusted EBITDA measure is useful to investors and to us as a measure of comparative operating performance from period to period, because it measures our changes in pricing decisions, cost controls and other factors that impact operating performance, and removes the effect of our capital structure (primarily interest expense), asset base (primarily depreciation and amortization), items outside our control (primarily income taxes) and volatility related to the timing and extent of other activities such as asset impairments and non-core income and expenses. Accordingly, we believe that this measure is useful for comparing general operating performance from period to period. Other companies may define Adjusted EBITDA differently and, as a result, our measure may not be directly comparable to measures of other companies. </w:t>
      </w:r>
    </w:p>
    <w:p>
      <w:pPr>
        <w:pStyle w:val="TextBody"/>
        <w:bidi w:val="0"/>
        <w:spacing w:before="0" w:after="0"/>
        <w:jc w:val="left"/>
        <w:rPr/>
      </w:pPr>
      <w:r>
        <w:rPr/>
        <w:t> </w:t>
      </w:r>
    </w:p>
    <w:tbl>
      <w:tblPr>
        <w:tblW w:w="6375" w:type="dxa"/>
        <w:jc w:val="left"/>
        <w:tblInd w:w="0" w:type="dxa"/>
        <w:tblLayout w:type="fixed"/>
        <w:tblCellMar>
          <w:top w:w="0" w:type="dxa"/>
          <w:left w:w="0" w:type="dxa"/>
          <w:bottom w:w="0" w:type="dxa"/>
          <w:right w:w="0" w:type="dxa"/>
        </w:tblCellMar>
      </w:tblPr>
      <w:tblGrid>
        <w:gridCol w:w="3200"/>
        <w:gridCol w:w="120"/>
        <w:gridCol w:w="60"/>
        <w:gridCol w:w="1280"/>
        <w:gridCol w:w="60"/>
        <w:gridCol w:w="120"/>
        <w:gridCol w:w="60"/>
        <w:gridCol w:w="1400"/>
        <w:gridCol w:w="75"/>
      </w:tblGrid>
      <w:tr>
        <w:trPr/>
        <w:tc>
          <w:tcPr>
            <w:tcW w:w="3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00" w:type="dxa"/>
            <w:tcBorders>
              <w:bottom w:val="single" w:sz="16" w:space="0" w:color="1070B8"/>
            </w:tcBorders>
            <w:tcMar>
              <w:bottom w:w="28" w:type="dxa"/>
            </w:tcMar>
            <w:vAlign w:val="center"/>
          </w:tcPr>
          <w:p>
            <w:pPr>
              <w:pStyle w:val="TableContents"/>
              <w:bidi w:val="0"/>
              <w:spacing w:before="0" w:after="283"/>
              <w:jc w:val="left"/>
              <w:rPr>
                <w:sz w:val="18"/>
              </w:rPr>
            </w:pPr>
            <w:r>
              <w:rPr>
                <w:sz w:val="18"/>
              </w:rPr>
              <w:t>($ in millions)</w:t>
            </w:r>
          </w:p>
        </w:tc>
        <w:tc>
          <w:tcPr>
            <w:tcW w:w="120" w:type="dxa"/>
            <w:tcBorders>
              <w:bottom w:val="single" w:sz="16" w:space="0" w:color="1070B8"/>
            </w:tcBorders>
            <w:tcMar>
              <w:bottom w:w="28" w:type="dxa"/>
            </w:tcMar>
            <w:vAlign w:val="center"/>
          </w:tcPr>
          <w:p>
            <w:pPr>
              <w:pStyle w:val="TableContents"/>
              <w:bidi w:val="0"/>
              <w:spacing w:before="0" w:after="283"/>
              <w:jc w:val="left"/>
              <w:rPr/>
            </w:pPr>
            <w:r>
              <w:rPr/>
              <w:t>  </w:t>
            </w:r>
          </w:p>
        </w:tc>
        <w:tc>
          <w:tcPr>
            <w:tcW w:w="1340" w:type="dxa"/>
            <w:gridSpan w:val="2"/>
            <w:tcBorders>
              <w:bottom w:val="single" w:sz="16" w:space="0" w:color="1070B8"/>
            </w:tcBorders>
            <w:tcMar>
              <w:bottom w:w="28" w:type="dxa"/>
            </w:tcMar>
            <w:vAlign w:val="center"/>
          </w:tcPr>
          <w:p>
            <w:pPr>
              <w:pStyle w:val="TableContents"/>
              <w:bidi w:val="0"/>
              <w:spacing w:before="0" w:after="283"/>
              <w:jc w:val="center"/>
              <w:rPr>
                <w:b/>
              </w:rPr>
            </w:pPr>
            <w:r>
              <w:rPr>
                <w:b/>
              </w:rPr>
              <w:t>2024</w:t>
            </w:r>
          </w:p>
        </w:tc>
        <w:tc>
          <w:tcPr>
            <w:tcW w:w="60" w:type="dxa"/>
            <w:tcBorders>
              <w:bottom w:val="single" w:sz="16" w:space="0" w:color="1070B8"/>
            </w:tcBorders>
            <w:tcMar>
              <w:bottom w:w="28" w:type="dxa"/>
            </w:tcMar>
            <w:vAlign w:val="center"/>
          </w:tcPr>
          <w:p>
            <w:pPr>
              <w:pStyle w:val="TableContents"/>
              <w:bidi w:val="0"/>
              <w:spacing w:before="0" w:after="283"/>
              <w:jc w:val="left"/>
              <w:rPr/>
            </w:pPr>
            <w:r>
              <w:rPr/>
              <w:t> </w:t>
            </w:r>
          </w:p>
        </w:tc>
        <w:tc>
          <w:tcPr>
            <w:tcW w:w="120" w:type="dxa"/>
            <w:tcBorders>
              <w:bottom w:val="single" w:sz="16" w:space="0" w:color="1070B8"/>
            </w:tcBorders>
            <w:tcMar>
              <w:bottom w:w="28" w:type="dxa"/>
            </w:tcMar>
            <w:vAlign w:val="center"/>
          </w:tcPr>
          <w:p>
            <w:pPr>
              <w:pStyle w:val="TableContents"/>
              <w:bidi w:val="0"/>
              <w:spacing w:before="0" w:after="283"/>
              <w:jc w:val="left"/>
              <w:rPr/>
            </w:pPr>
            <w:r>
              <w:rPr/>
              <w:t>  </w:t>
            </w:r>
          </w:p>
        </w:tc>
        <w:tc>
          <w:tcPr>
            <w:tcW w:w="1460" w:type="dxa"/>
            <w:gridSpan w:val="2"/>
            <w:tcBorders>
              <w:bottom w:val="single" w:sz="16" w:space="0" w:color="1070B8"/>
            </w:tcBorders>
            <w:tcMar>
              <w:bottom w:w="28" w:type="dxa"/>
            </w:tcMar>
            <w:vAlign w:val="center"/>
          </w:tcPr>
          <w:p>
            <w:pPr>
              <w:pStyle w:val="TableContents"/>
              <w:bidi w:val="0"/>
              <w:spacing w:before="0" w:after="283"/>
              <w:jc w:val="center"/>
              <w:rPr>
                <w:b/>
              </w:rPr>
            </w:pPr>
            <w:r>
              <w:rPr>
                <w:b/>
              </w:rPr>
              <w:t>2023   </w:t>
            </w:r>
          </w:p>
        </w:tc>
        <w:tc>
          <w:tcPr>
            <w:tcW w:w="75" w:type="dxa"/>
            <w:tcBorders>
              <w:bottom w:val="single" w:sz="16" w:space="0" w:color="1070B8"/>
            </w:tcBorders>
            <w:tcMar>
              <w:bottom w:w="28" w:type="dxa"/>
            </w:tcMar>
            <w:vAlign w:val="center"/>
          </w:tcPr>
          <w:p>
            <w:pPr>
              <w:pStyle w:val="TableContents"/>
              <w:bidi w:val="0"/>
              <w:spacing w:before="0" w:after="283"/>
              <w:jc w:val="left"/>
              <w:rPr/>
            </w:pPr>
            <w:r>
              <w:rPr/>
              <w:t> </w:t>
            </w:r>
          </w:p>
        </w:tc>
      </w:tr>
      <w:tr>
        <w:trPr/>
        <w:tc>
          <w:tcPr>
            <w:tcW w:w="3200" w:type="dxa"/>
            <w:tcBorders/>
            <w:shd w:fill="D5DBE3" w:val="clear"/>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3200" w:type="dxa"/>
            <w:tcBorders/>
            <w:shd w:fill="D5DBE3" w:val="clear"/>
            <w:vAlign w:val="center"/>
          </w:tcPr>
          <w:p>
            <w:pPr>
              <w:pStyle w:val="TableContents"/>
              <w:bidi w:val="0"/>
              <w:spacing w:before="0" w:after="0"/>
              <w:jc w:val="left"/>
              <w:rPr/>
            </w:pPr>
            <w:r>
              <w:rPr/>
              <w:t> </w:t>
            </w:r>
            <w:r>
              <w:rPr>
                <w:rFonts w:ascii="arial" w:hAnsi="arial"/>
                <w:b/>
                <w:sz w:val="20"/>
              </w:rPr>
              <w:t>Adjusted EBITDA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00" w:type="dxa"/>
            <w:tcBorders/>
            <w:shd w:fill="D5DBE3" w:val="clear"/>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3200" w:type="dxa"/>
            <w:tcBorders/>
            <w:shd w:fill="D5DBE3" w:val="clear"/>
            <w:vAlign w:val="center"/>
          </w:tcPr>
          <w:p>
            <w:pPr>
              <w:pStyle w:val="TableContents"/>
              <w:bidi w:val="0"/>
              <w:spacing w:before="0" w:after="0"/>
              <w:jc w:val="left"/>
              <w:rPr/>
            </w:pPr>
            <w:r>
              <w:rPr/>
              <w:t> </w:t>
            </w:r>
            <w:r>
              <w:rPr>
                <w:rFonts w:ascii="arial" w:hAnsi="arial"/>
                <w:sz w:val="20"/>
              </w:rPr>
              <w:t>Net income, as reported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r>
              <w:rPr/>
              <w:t>$ 256.6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$243.7   </w:t>
            </w:r>
          </w:p>
        </w:tc>
        <w:tc>
          <w:tcPr>
            <w:tcW w:w="75" w:type="dxa"/>
            <w:tcBorders/>
            <w:vAlign w:val="center"/>
          </w:tcPr>
          <w:p>
            <w:pPr>
              <w:pStyle w:val="TableContents"/>
              <w:bidi w:val="0"/>
              <w:spacing w:before="0" w:after="283"/>
              <w:jc w:val="left"/>
              <w:rPr/>
            </w:pPr>
            <w:r>
              <w:rPr/>
              <w:t> </w:t>
            </w:r>
          </w:p>
        </w:tc>
      </w:tr>
      <w:tr>
        <w:trPr/>
        <w:tc>
          <w:tcPr>
            <w:tcW w:w="3200" w:type="dxa"/>
            <w:tcBorders/>
            <w:shd w:fill="D5DBE3" w:val="clear"/>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3200" w:type="dxa"/>
            <w:tcBorders/>
            <w:shd w:fill="D5DBE3" w:val="clear"/>
            <w:vAlign w:val="center"/>
          </w:tcPr>
          <w:p>
            <w:pPr>
              <w:pStyle w:val="TableContents"/>
              <w:bidi w:val="0"/>
              <w:spacing w:before="0" w:after="0"/>
              <w:jc w:val="left"/>
              <w:rPr>
                <w:rFonts w:ascii="arial" w:hAnsi="arial"/>
                <w:sz w:val="20"/>
              </w:rPr>
            </w:pPr>
            <w:r>
              <w:rPr>
                <w:rFonts w:ascii="arial" w:hAnsi="arial"/>
                <w:sz w:val="20"/>
              </w:rPr>
              <w:t>Interest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36.9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37.0   </w:t>
            </w:r>
          </w:p>
        </w:tc>
        <w:tc>
          <w:tcPr>
            <w:tcW w:w="75" w:type="dxa"/>
            <w:tcBorders/>
            <w:vAlign w:val="center"/>
          </w:tcPr>
          <w:p>
            <w:pPr>
              <w:pStyle w:val="TableContents"/>
              <w:bidi w:val="0"/>
              <w:spacing w:before="0" w:after="283"/>
              <w:jc w:val="left"/>
              <w:rPr/>
            </w:pPr>
            <w:r>
              <w:rPr/>
              <w:t> </w:t>
            </w:r>
          </w:p>
        </w:tc>
      </w:tr>
      <w:tr>
        <w:trPr/>
        <w:tc>
          <w:tcPr>
            <w:tcW w:w="3200" w:type="dxa"/>
            <w:tcBorders/>
            <w:shd w:fill="D5DBE3" w:val="clear"/>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3200" w:type="dxa"/>
            <w:tcBorders/>
            <w:shd w:fill="D5DBE3" w:val="clear"/>
            <w:vAlign w:val="center"/>
          </w:tcPr>
          <w:p>
            <w:pPr>
              <w:pStyle w:val="TableContents"/>
              <w:bidi w:val="0"/>
              <w:spacing w:before="0" w:after="0"/>
              <w:jc w:val="left"/>
              <w:rPr>
                <w:rFonts w:ascii="arial" w:hAnsi="arial"/>
                <w:sz w:val="20"/>
              </w:rPr>
            </w:pPr>
            <w:r>
              <w:rPr>
                <w:rFonts w:ascii="arial" w:hAnsi="arial"/>
                <w:sz w:val="20"/>
              </w:rPr>
              <w:t>Provision for income tax</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89.8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89.4   </w:t>
            </w:r>
          </w:p>
        </w:tc>
        <w:tc>
          <w:tcPr>
            <w:tcW w:w="75" w:type="dxa"/>
            <w:tcBorders/>
            <w:vAlign w:val="center"/>
          </w:tcPr>
          <w:p>
            <w:pPr>
              <w:pStyle w:val="TableContents"/>
              <w:bidi w:val="0"/>
              <w:spacing w:before="0" w:after="283"/>
              <w:jc w:val="left"/>
              <w:rPr/>
            </w:pPr>
            <w:r>
              <w:rPr/>
              <w:t> </w:t>
            </w:r>
          </w:p>
        </w:tc>
      </w:tr>
      <w:tr>
        <w:trPr/>
        <w:tc>
          <w:tcPr>
            <w:tcW w:w="3200" w:type="dxa"/>
            <w:tcBorders/>
            <w:shd w:fill="D5DBE3" w:val="clear"/>
            <w:vAlign w:val="center"/>
          </w:tcPr>
          <w:p>
            <w:pPr>
              <w:pStyle w:val="TableContents"/>
              <w:bidi w:val="0"/>
              <w:spacing w:before="0" w:after="283"/>
              <w:jc w:val="left"/>
              <w:rPr>
                <w:sz w:val="4"/>
                <w:szCs w:val="4"/>
              </w:rPr>
            </w:pPr>
            <w:r>
              <w:rPr>
                <w:sz w:val="4"/>
                <w:szCs w:val="4"/>
              </w:rPr>
            </w:r>
          </w:p>
        </w:tc>
        <w:tc>
          <w:tcPr>
            <w:tcW w:w="1520" w:type="dxa"/>
            <w:gridSpan w:val="4"/>
            <w:tcBorders/>
            <w:shd w:fill="FFFFFF" w:val="clear"/>
            <w:vAlign w:val="center"/>
          </w:tcPr>
          <w:p>
            <w:pPr>
              <w:pStyle w:val="TableContents"/>
              <w:bidi w:val="0"/>
              <w:spacing w:before="0" w:after="283"/>
              <w:jc w:val="left"/>
              <w:rPr>
                <w:sz w:val="4"/>
                <w:szCs w:val="4"/>
              </w:rPr>
            </w:pPr>
            <w:r>
              <w:rPr>
                <w:sz w:val="4"/>
                <w:szCs w:val="4"/>
              </w:rPr>
            </w:r>
          </w:p>
        </w:tc>
        <w:tc>
          <w:tcPr>
            <w:tcW w:w="1655" w:type="dxa"/>
            <w:gridSpan w:val="4"/>
            <w:tcBorders/>
            <w:shd w:fill="FFFFFF" w:val="clear"/>
            <w:vAlign w:val="center"/>
          </w:tcPr>
          <w:p>
            <w:pPr>
              <w:pStyle w:val="TableContents"/>
              <w:bidi w:val="0"/>
              <w:spacing w:before="0" w:after="283"/>
              <w:jc w:val="left"/>
              <w:rPr>
                <w:sz w:val="4"/>
                <w:szCs w:val="4"/>
              </w:rPr>
            </w:pPr>
            <w:r>
              <w:rPr>
                <w:sz w:val="4"/>
                <w:szCs w:val="4"/>
              </w:rPr>
            </w:r>
          </w:p>
        </w:tc>
      </w:tr>
      <w:tr>
        <w:trPr/>
        <w:tc>
          <w:tcPr>
            <w:tcW w:w="3200" w:type="dxa"/>
            <w:tcBorders/>
            <w:shd w:fill="D5DBE3" w:val="clear"/>
            <w:vAlign w:val="center"/>
          </w:tcPr>
          <w:p>
            <w:pPr>
              <w:pStyle w:val="TableContents"/>
              <w:bidi w:val="0"/>
              <w:spacing w:before="0" w:after="0"/>
              <w:jc w:val="left"/>
              <w:rPr>
                <w:rFonts w:ascii="arial" w:hAnsi="arial"/>
                <w:sz w:val="20"/>
              </w:rPr>
            </w:pPr>
            <w:r>
              <w:rPr>
                <w:rFonts w:ascii="arial" w:hAnsi="arial"/>
                <w:sz w:val="20"/>
              </w:rPr>
              <w:t>Depreciation and amortization</w:t>
            </w:r>
          </w:p>
        </w:tc>
        <w:tc>
          <w:tcPr>
            <w:tcW w:w="12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40" w:type="dxa"/>
            </w:tcMar>
            <w:vAlign w:val="center"/>
          </w:tcPr>
          <w:p>
            <w:pPr>
              <w:pStyle w:val="TableContents"/>
              <w:bidi w:val="0"/>
              <w:spacing w:before="0" w:after="283"/>
              <w:jc w:val="left"/>
              <w:rPr/>
            </w:pPr>
            <w:r>
              <w:rPr/>
              <w:t> </w:t>
            </w:r>
          </w:p>
        </w:tc>
        <w:tc>
          <w:tcPr>
            <w:tcW w:w="1280" w:type="dxa"/>
            <w:tcBorders>
              <w:bottom w:val="single" w:sz="6" w:space="0" w:color="000000"/>
            </w:tcBorders>
            <w:shd w:fill="FFFFFF" w:val="clear"/>
            <w:tcMar>
              <w:bottom w:w="40" w:type="dxa"/>
            </w:tcMar>
            <w:vAlign w:val="center"/>
          </w:tcPr>
          <w:p>
            <w:pPr>
              <w:pStyle w:val="TableContents"/>
              <w:bidi w:val="0"/>
              <w:spacing w:before="0" w:after="283"/>
              <w:jc w:val="right"/>
              <w:rPr/>
            </w:pPr>
            <w:r>
              <w:rPr/>
              <w:t>101.6</w:t>
            </w:r>
          </w:p>
        </w:tc>
        <w:tc>
          <w:tcPr>
            <w:tcW w:w="60" w:type="dxa"/>
            <w:tcBorders>
              <w:bottom w:val="single" w:sz="6" w:space="0" w:color="000000"/>
            </w:tcBorders>
            <w:shd w:fill="FFFFFF" w:val="clear"/>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40" w:type="dxa"/>
            </w:tcMar>
            <w:vAlign w:val="center"/>
          </w:tcPr>
          <w:p>
            <w:pPr>
              <w:pStyle w:val="TableContents"/>
              <w:bidi w:val="0"/>
              <w:spacing w:before="0" w:after="283"/>
              <w:jc w:val="left"/>
              <w:rPr/>
            </w:pPr>
            <w:r>
              <w:rPr/>
              <w:t> </w:t>
            </w:r>
          </w:p>
        </w:tc>
        <w:tc>
          <w:tcPr>
            <w:tcW w:w="1400" w:type="dxa"/>
            <w:tcBorders>
              <w:bottom w:val="single" w:sz="6" w:space="0" w:color="000000"/>
            </w:tcBorders>
            <w:shd w:fill="FFFFFF" w:val="clear"/>
            <w:tcMar>
              <w:bottom w:w="40" w:type="dxa"/>
            </w:tcMar>
            <w:vAlign w:val="center"/>
          </w:tcPr>
          <w:p>
            <w:pPr>
              <w:pStyle w:val="TableContents"/>
              <w:bidi w:val="0"/>
              <w:spacing w:before="0" w:after="283"/>
              <w:jc w:val="right"/>
              <w:rPr/>
            </w:pPr>
            <w:r>
              <w:rPr/>
              <w:t>96.7   </w:t>
            </w:r>
          </w:p>
        </w:tc>
        <w:tc>
          <w:tcPr>
            <w:tcW w:w="75" w:type="dxa"/>
            <w:tcBorders>
              <w:bottom w:val="single" w:sz="6" w:space="0" w:color="000000"/>
            </w:tcBorders>
            <w:shd w:fill="FFFFFF" w:val="clear"/>
            <w:tcMar>
              <w:bottom w:w="40" w:type="dxa"/>
            </w:tcMar>
            <w:vAlign w:val="center"/>
          </w:tcPr>
          <w:p>
            <w:pPr>
              <w:pStyle w:val="TableContents"/>
              <w:bidi w:val="0"/>
              <w:spacing w:before="0" w:after="283"/>
              <w:jc w:val="left"/>
              <w:rPr/>
            </w:pPr>
            <w:r>
              <w:rPr/>
              <w:t> </w:t>
            </w:r>
          </w:p>
        </w:tc>
      </w:tr>
      <w:tr>
        <w:trPr/>
        <w:tc>
          <w:tcPr>
            <w:tcW w:w="3200" w:type="dxa"/>
            <w:tcBorders/>
            <w:shd w:fill="D5DBE3" w:val="clear"/>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3200" w:type="dxa"/>
            <w:tcBorders/>
            <w:shd w:fill="D5DBE3" w:val="clear"/>
            <w:vAlign w:val="center"/>
          </w:tcPr>
          <w:p>
            <w:pPr>
              <w:pStyle w:val="TableContents"/>
              <w:bidi w:val="0"/>
              <w:spacing w:before="0" w:after="0"/>
              <w:jc w:val="left"/>
              <w:rPr/>
            </w:pPr>
            <w:r>
              <w:rPr/>
              <w:t> </w:t>
            </w:r>
            <w:r>
              <w:rPr>
                <w:rFonts w:ascii="arial" w:hAnsi="arial"/>
                <w:sz w:val="20"/>
              </w:rPr>
              <w:t>EBITDA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80" w:type="dxa"/>
            <w:tcBorders>
              <w:bottom w:val="single" w:sz="6" w:space="0" w:color="000000"/>
            </w:tcBorders>
            <w:tcMar>
              <w:bottom w:w="40" w:type="dxa"/>
            </w:tcMar>
            <w:vAlign w:val="center"/>
          </w:tcPr>
          <w:p>
            <w:pPr>
              <w:pStyle w:val="TableContents"/>
              <w:bidi w:val="0"/>
              <w:spacing w:before="0" w:after="283"/>
              <w:jc w:val="right"/>
              <w:rPr/>
            </w:pPr>
            <w:r>
              <w:rPr/>
              <w:t>484.9</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400" w:type="dxa"/>
            <w:tcBorders>
              <w:bottom w:val="single" w:sz="6" w:space="0" w:color="000000"/>
            </w:tcBorders>
            <w:tcMar>
              <w:bottom w:w="40" w:type="dxa"/>
            </w:tcMar>
            <w:vAlign w:val="center"/>
          </w:tcPr>
          <w:p>
            <w:pPr>
              <w:pStyle w:val="TableContents"/>
              <w:bidi w:val="0"/>
              <w:spacing w:before="0" w:after="283"/>
              <w:jc w:val="right"/>
              <w:rPr/>
            </w:pPr>
            <w:r>
              <w:rPr/>
              <w:t>466.8   </w:t>
            </w:r>
          </w:p>
        </w:tc>
        <w:tc>
          <w:tcPr>
            <w:tcW w:w="75"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3200" w:type="dxa"/>
            <w:tcBorders/>
            <w:shd w:fill="D5DBE3" w:val="clear"/>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3200" w:type="dxa"/>
            <w:tcBorders/>
            <w:shd w:fill="D5DBE3" w:val="clear"/>
            <w:vAlign w:val="center"/>
          </w:tcPr>
          <w:p>
            <w:pPr>
              <w:pStyle w:val="TableContents"/>
              <w:bidi w:val="0"/>
              <w:spacing w:before="0" w:after="0"/>
              <w:jc w:val="left"/>
              <w:rPr>
                <w:rFonts w:ascii="arial" w:hAnsi="arial"/>
                <w:sz w:val="20"/>
              </w:rPr>
            </w:pPr>
            <w:r>
              <w:rPr>
                <w:rFonts w:ascii="arial" w:hAnsi="arial"/>
                <w:sz w:val="20"/>
              </w:rPr>
              <w:t>Acquisition related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1.9   </w:t>
            </w:r>
          </w:p>
        </w:tc>
        <w:tc>
          <w:tcPr>
            <w:tcW w:w="75" w:type="dxa"/>
            <w:tcBorders/>
            <w:vAlign w:val="center"/>
          </w:tcPr>
          <w:p>
            <w:pPr>
              <w:pStyle w:val="TableContents"/>
              <w:bidi w:val="0"/>
              <w:spacing w:before="0" w:after="283"/>
              <w:jc w:val="left"/>
              <w:rPr/>
            </w:pPr>
            <w:r>
              <w:rPr/>
              <w:t> </w:t>
            </w:r>
          </w:p>
        </w:tc>
      </w:tr>
      <w:tr>
        <w:trPr/>
        <w:tc>
          <w:tcPr>
            <w:tcW w:w="3200" w:type="dxa"/>
            <w:tcBorders/>
            <w:shd w:fill="D5DBE3" w:val="clear"/>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3200" w:type="dxa"/>
            <w:tcBorders/>
            <w:shd w:fill="D5DBE3" w:val="clear"/>
            <w:vAlign w:val="center"/>
          </w:tcPr>
          <w:p>
            <w:pPr>
              <w:pStyle w:val="TableContents"/>
              <w:bidi w:val="0"/>
              <w:spacing w:before="0" w:after="0"/>
              <w:jc w:val="left"/>
              <w:rPr>
                <w:rFonts w:ascii="arial" w:hAnsi="arial"/>
                <w:sz w:val="20"/>
              </w:rPr>
            </w:pPr>
            <w:r>
              <w:rPr>
                <w:rFonts w:ascii="arial" w:hAnsi="arial"/>
                <w:sz w:val="20"/>
              </w:rPr>
              <w:t>Share based compensation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15.9   </w:t>
            </w:r>
          </w:p>
        </w:tc>
        <w:tc>
          <w:tcPr>
            <w:tcW w:w="75" w:type="dxa"/>
            <w:tcBorders/>
            <w:vAlign w:val="center"/>
          </w:tcPr>
          <w:p>
            <w:pPr>
              <w:pStyle w:val="TableContents"/>
              <w:bidi w:val="0"/>
              <w:spacing w:before="0" w:after="283"/>
              <w:jc w:val="left"/>
              <w:rPr/>
            </w:pPr>
            <w:r>
              <w:rPr/>
              <w:t> </w:t>
            </w:r>
          </w:p>
        </w:tc>
      </w:tr>
      <w:tr>
        <w:trPr/>
        <w:tc>
          <w:tcPr>
            <w:tcW w:w="3200" w:type="dxa"/>
            <w:tcBorders/>
            <w:shd w:fill="D5DBE3" w:val="clear"/>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3200" w:type="dxa"/>
            <w:tcBorders/>
            <w:shd w:fill="D5DBE3" w:val="clear"/>
            <w:vAlign w:val="center"/>
          </w:tcPr>
          <w:p>
            <w:pPr>
              <w:pStyle w:val="TableContents"/>
              <w:bidi w:val="0"/>
              <w:spacing w:before="0" w:after="0"/>
              <w:jc w:val="left"/>
              <w:rPr>
                <w:rFonts w:ascii="arial" w:hAnsi="arial"/>
                <w:sz w:val="20"/>
              </w:rPr>
            </w:pPr>
            <w:r>
              <w:rPr>
                <w:rFonts w:ascii="arial" w:hAnsi="arial"/>
                <w:sz w:val="20"/>
              </w:rPr>
              <w:t>Legal reserve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80" w:type="dxa"/>
            <w:tcBorders>
              <w:bottom w:val="single" w:sz="6" w:space="0" w:color="000000"/>
            </w:tcBorders>
            <w:tcMar>
              <w:bottom w:w="40" w:type="dxa"/>
            </w:tcMar>
            <w:vAlign w:val="center"/>
          </w:tcPr>
          <w:p>
            <w:pPr>
              <w:pStyle w:val="TableContents"/>
              <w:bidi w:val="0"/>
              <w:spacing w:before="0" w:after="283"/>
              <w:jc w:val="right"/>
              <w:rPr/>
            </w:pPr>
            <w:r>
              <w:rPr/>
              <w:t>-</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400" w:type="dxa"/>
            <w:tcBorders>
              <w:bottom w:val="single" w:sz="6" w:space="0" w:color="000000"/>
            </w:tcBorders>
            <w:tcMar>
              <w:bottom w:w="40" w:type="dxa"/>
            </w:tcMar>
            <w:vAlign w:val="center"/>
          </w:tcPr>
          <w:p>
            <w:pPr>
              <w:pStyle w:val="TableContents"/>
              <w:bidi w:val="0"/>
              <w:spacing w:before="0" w:after="283"/>
              <w:jc w:val="right"/>
              <w:rPr/>
            </w:pPr>
            <w:r>
              <w:rPr/>
              <w:t>1.3   </w:t>
            </w:r>
          </w:p>
        </w:tc>
        <w:tc>
          <w:tcPr>
            <w:tcW w:w="75"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3200" w:type="dxa"/>
            <w:tcBorders/>
            <w:shd w:fill="D5DBE3" w:val="clear"/>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3200" w:type="dxa"/>
            <w:tcBorders/>
            <w:shd w:fill="D5DBE3" w:val="clear"/>
            <w:vAlign w:val="center"/>
          </w:tcPr>
          <w:p>
            <w:pPr>
              <w:pStyle w:val="TableContents"/>
              <w:bidi w:val="0"/>
              <w:spacing w:before="0" w:after="0"/>
              <w:jc w:val="left"/>
              <w:rPr>
                <w:rFonts w:ascii="arial" w:hAnsi="arial"/>
                <w:sz w:val="20"/>
              </w:rPr>
            </w:pPr>
            <w:r>
              <w:rPr>
                <w:rFonts w:ascii="arial" w:hAnsi="arial"/>
                <w:sz w:val="20"/>
              </w:rPr>
              <w:t>Asset impairment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80" w:type="dxa"/>
            <w:tcBorders>
              <w:bottom w:val="single" w:sz="6" w:space="0" w:color="000000"/>
            </w:tcBorders>
            <w:tcMar>
              <w:bottom w:w="40" w:type="dxa"/>
            </w:tcMar>
            <w:vAlign w:val="center"/>
          </w:tcPr>
          <w:p>
            <w:pPr>
              <w:pStyle w:val="TableContents"/>
              <w:bidi w:val="0"/>
              <w:spacing w:before="0" w:after="283"/>
              <w:jc w:val="right"/>
              <w:rPr/>
            </w:pPr>
            <w:r>
              <w:rPr/>
              <w:t>4.9</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400" w:type="dxa"/>
            <w:tcBorders>
              <w:bottom w:val="single" w:sz="6" w:space="0" w:color="000000"/>
            </w:tcBorders>
            <w:tcMar>
              <w:bottom w:w="40" w:type="dxa"/>
            </w:tcMar>
            <w:vAlign w:val="center"/>
          </w:tcPr>
          <w:p>
            <w:pPr>
              <w:pStyle w:val="TableContents"/>
              <w:bidi w:val="0"/>
              <w:spacing w:before="0" w:after="283"/>
              <w:jc w:val="right"/>
              <w:rPr/>
            </w:pPr>
            <w:r>
              <w:rPr/>
              <w:t>-   </w:t>
            </w:r>
          </w:p>
        </w:tc>
        <w:tc>
          <w:tcPr>
            <w:tcW w:w="75"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3200" w:type="dxa"/>
            <w:tcBorders/>
            <w:shd w:fill="D5DBE3" w:val="clear"/>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3200" w:type="dxa"/>
            <w:tcBorders>
              <w:bottom w:val="single" w:sz="16" w:space="0" w:color="1070B8"/>
            </w:tcBorders>
            <w:shd w:fill="D5DBE3" w:val="clear"/>
            <w:tcMar>
              <w:bottom w:w="80" w:type="dxa"/>
            </w:tcMar>
            <w:vAlign w:val="center"/>
          </w:tcPr>
          <w:p>
            <w:pPr>
              <w:pStyle w:val="TableContents"/>
              <w:bidi w:val="0"/>
              <w:spacing w:before="0" w:after="0"/>
              <w:jc w:val="left"/>
              <w:rPr/>
            </w:pPr>
            <w:r>
              <w:rPr/>
              <w:t> </w:t>
            </w:r>
            <w:r>
              <w:rPr>
                <w:rFonts w:ascii="arial" w:hAnsi="arial"/>
                <w:sz w:val="20"/>
              </w:rPr>
              <w:t>Adjusted EBITDA</w:t>
            </w:r>
          </w:p>
        </w:tc>
        <w:tc>
          <w:tcPr>
            <w:tcW w:w="120" w:type="dxa"/>
            <w:tcBorders>
              <w:bottom w:val="single" w:sz="16" w:space="0" w:color="1070B8"/>
            </w:tcBorders>
            <w:tcMar>
              <w:bottom w:w="28" w:type="dxa"/>
            </w:tcMar>
            <w:vAlign w:val="center"/>
          </w:tcPr>
          <w:p>
            <w:pPr>
              <w:pStyle w:val="TableContents"/>
              <w:bidi w:val="0"/>
              <w:spacing w:before="0" w:after="283"/>
              <w:jc w:val="left"/>
              <w:rPr/>
            </w:pPr>
            <w:r>
              <w:rPr/>
              <w:t>  </w:t>
            </w:r>
          </w:p>
        </w:tc>
        <w:tc>
          <w:tcPr>
            <w:tcW w:w="60" w:type="dxa"/>
            <w:tcBorders>
              <w:bottom w:val="single" w:sz="16" w:space="0" w:color="1070B8"/>
            </w:tcBorders>
            <w:tcMar>
              <w:bottom w:w="80" w:type="dxa"/>
            </w:tcMar>
            <w:vAlign w:val="center"/>
          </w:tcPr>
          <w:p>
            <w:pPr>
              <w:pStyle w:val="TableContents"/>
              <w:bidi w:val="0"/>
              <w:spacing w:before="0" w:after="283"/>
              <w:jc w:val="left"/>
              <w:rPr/>
            </w:pPr>
            <w:r>
              <w:rPr/>
              <w:t> </w:t>
            </w:r>
          </w:p>
        </w:tc>
        <w:tc>
          <w:tcPr>
            <w:tcW w:w="1280" w:type="dxa"/>
            <w:tcBorders>
              <w:bottom w:val="single" w:sz="16" w:space="0" w:color="1070B8"/>
            </w:tcBorders>
            <w:tcMar>
              <w:bottom w:w="80" w:type="dxa"/>
            </w:tcMar>
            <w:vAlign w:val="center"/>
          </w:tcPr>
          <w:p>
            <w:pPr>
              <w:pStyle w:val="TableContents"/>
              <w:bidi w:val="0"/>
              <w:spacing w:before="0" w:after="283"/>
              <w:jc w:val="right"/>
              <w:rPr/>
            </w:pPr>
            <w:r>
              <w:rPr/>
              <w:t>$ 511.4</w:t>
            </w:r>
          </w:p>
        </w:tc>
        <w:tc>
          <w:tcPr>
            <w:tcW w:w="60" w:type="dxa"/>
            <w:tcBorders>
              <w:bottom w:val="single" w:sz="16" w:space="0" w:color="1070B8"/>
            </w:tcBorders>
            <w:tcMar>
              <w:bottom w:w="80" w:type="dxa"/>
            </w:tcMar>
            <w:vAlign w:val="center"/>
          </w:tcPr>
          <w:p>
            <w:pPr>
              <w:pStyle w:val="TableContents"/>
              <w:bidi w:val="0"/>
              <w:spacing w:before="0" w:after="283"/>
              <w:jc w:val="left"/>
              <w:rPr/>
            </w:pPr>
            <w:r>
              <w:rPr/>
              <w:t> </w:t>
            </w:r>
          </w:p>
        </w:tc>
        <w:tc>
          <w:tcPr>
            <w:tcW w:w="120" w:type="dxa"/>
            <w:tcBorders>
              <w:bottom w:val="single" w:sz="16" w:space="0" w:color="1070B8"/>
            </w:tcBorders>
            <w:tcMar>
              <w:bottom w:w="28" w:type="dxa"/>
            </w:tcMar>
            <w:vAlign w:val="center"/>
          </w:tcPr>
          <w:p>
            <w:pPr>
              <w:pStyle w:val="TableContents"/>
              <w:bidi w:val="0"/>
              <w:spacing w:before="0" w:after="283"/>
              <w:jc w:val="left"/>
              <w:rPr/>
            </w:pPr>
            <w:r>
              <w:rPr/>
              <w:t>  </w:t>
            </w:r>
          </w:p>
        </w:tc>
        <w:tc>
          <w:tcPr>
            <w:tcW w:w="60" w:type="dxa"/>
            <w:tcBorders>
              <w:bottom w:val="single" w:sz="16" w:space="0" w:color="1070B8"/>
            </w:tcBorders>
            <w:tcMar>
              <w:bottom w:w="80" w:type="dxa"/>
            </w:tcMar>
            <w:vAlign w:val="center"/>
          </w:tcPr>
          <w:p>
            <w:pPr>
              <w:pStyle w:val="TableContents"/>
              <w:bidi w:val="0"/>
              <w:spacing w:before="0" w:after="283"/>
              <w:jc w:val="left"/>
              <w:rPr/>
            </w:pPr>
            <w:r>
              <w:rPr/>
              <w:t> </w:t>
            </w:r>
          </w:p>
        </w:tc>
        <w:tc>
          <w:tcPr>
            <w:tcW w:w="1400" w:type="dxa"/>
            <w:tcBorders>
              <w:bottom w:val="single" w:sz="16" w:space="0" w:color="1070B8"/>
            </w:tcBorders>
            <w:tcMar>
              <w:bottom w:w="80" w:type="dxa"/>
            </w:tcMar>
            <w:vAlign w:val="center"/>
          </w:tcPr>
          <w:p>
            <w:pPr>
              <w:pStyle w:val="TableContents"/>
              <w:bidi w:val="0"/>
              <w:spacing w:before="0" w:after="283"/>
              <w:jc w:val="right"/>
              <w:rPr/>
            </w:pPr>
            <w:r>
              <w:rPr/>
              <w:t>$ 485.9   </w:t>
            </w:r>
          </w:p>
        </w:tc>
        <w:tc>
          <w:tcPr>
            <w:tcW w:w="75" w:type="dxa"/>
            <w:tcBorders>
              <w:bottom w:val="single" w:sz="16" w:space="0" w:color="1070B8"/>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Additional Information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bookmarkStart w:id="119" w:name="toc849638_92"/>
      <w:bookmarkEnd w:id="119"/>
      <w:r>
        <w:rPr>
          <w:rFonts w:ascii="Times New Roman" w:hAnsi="Times New Roman"/>
          <w:b/>
          <w:color w:val="1070B8"/>
          <w:sz w:val="44"/>
        </w:rPr>
        <w:t xml:space="preserve">MEETING AND VOTING INFORMATION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sz w:val="20"/>
        </w:rPr>
        <w:t xml:space="preserve">Certain of the topics below refer to “stockholders of record” or “beneficial owners.” If your shares were registered directly in your name with our transfer agent on the record date, then you are a “stockholder of record” with respect to those shares. If your shares were held in an account at a brokerage firm, bank or other nominee on the record date, then you are a “beneficial owner” of those shares. </w:t>
      </w:r>
    </w:p>
    <w:p>
      <w:pPr>
        <w:pStyle w:val="TextBody"/>
        <w:bidi w:val="0"/>
        <w:spacing w:before="240" w:after="0"/>
        <w:jc w:val="left"/>
        <w:rPr>
          <w:rFonts w:ascii="arial" w:hAnsi="arial"/>
          <w:b/>
          <w:color w:val="1F295C"/>
          <w:sz w:val="24"/>
        </w:rPr>
      </w:pPr>
      <w:bookmarkStart w:id="120" w:name="toc849638_93"/>
      <w:bookmarkEnd w:id="120"/>
      <w:r>
        <w:rPr>
          <w:rFonts w:ascii="arial" w:hAnsi="arial"/>
          <w:b/>
          <w:color w:val="1F295C"/>
          <w:sz w:val="24"/>
        </w:rPr>
        <w:t xml:space="preserve">Attending the Annual Meeting </w:t>
      </w:r>
    </w:p>
    <w:p>
      <w:pPr>
        <w:pStyle w:val="TextBody"/>
        <w:bidi w:val="0"/>
        <w:spacing w:before="240" w:after="0"/>
        <w:jc w:val="left"/>
        <w:rPr>
          <w:rFonts w:ascii="arial" w:hAnsi="arial"/>
          <w:sz w:val="20"/>
        </w:rPr>
      </w:pPr>
      <w:r>
        <w:rPr>
          <w:rFonts w:ascii="arial" w:hAnsi="arial"/>
          <w:sz w:val="20"/>
        </w:rPr>
        <w:t xml:space="preserve">Our Annual Meeting is conducted virtually by a live audio webcast in lieu of an in-person meeting. This format promotes stockholder participation by enabling stockholders to conveniently attend from any location. The virtual format results in cost savings to the Company and stockholders and is designed to enhance stockholder access and participation. You will be afforded the same rights and opportunities to participate in the virtual meeting as you would at an in-person meeting. You may attend and participate in the Annual Meeting in the following ways: </w:t>
      </w:r>
    </w:p>
    <w:p>
      <w:pPr>
        <w:pStyle w:val="TextBody"/>
        <w:bidi w:val="0"/>
        <w:spacing w:before="240" w:after="0"/>
        <w:jc w:val="left"/>
        <w:rPr>
          <w:rFonts w:ascii="arial" w:hAnsi="arial"/>
          <w:sz w:val="20"/>
        </w:rPr>
      </w:pPr>
      <w:r>
        <w:rPr>
          <w:rFonts w:ascii="arial" w:hAnsi="arial"/>
          <w:i/>
          <w:sz w:val="20"/>
          <w:u w:val="single"/>
        </w:rPr>
        <w:t>Stockholders of Record</w:t>
      </w:r>
      <w:r>
        <w:rPr>
          <w:rFonts w:ascii="arial" w:hAnsi="arial"/>
          <w:sz w:val="20"/>
        </w:rPr>
        <w:t xml:space="preserve">. You can listen to the Annual Meeting, submit questions and vote by going to </w:t>
      </w:r>
      <w:r>
        <w:rPr>
          <w:rFonts w:ascii="arial" w:hAnsi="arial"/>
          <w:color w:val="3A53A4"/>
          <w:sz w:val="20"/>
          <w:u w:val="single"/>
        </w:rPr>
        <w:t>https://meetnow.global/M4CN4WG</w:t>
      </w:r>
      <w:r>
        <w:rPr>
          <w:rFonts w:ascii="arial" w:hAnsi="arial"/>
          <w:sz w:val="20"/>
        </w:rPr>
        <w:t xml:space="preserve">, clicking on “Join Meeting Now” and entering under the stockholder tab the 15-digit control number found in your proxy materials. </w:t>
      </w:r>
    </w:p>
    <w:p>
      <w:pPr>
        <w:pStyle w:val="TextBody"/>
        <w:bidi w:val="0"/>
        <w:spacing w:before="240" w:after="0"/>
        <w:jc w:val="left"/>
        <w:rPr>
          <w:rFonts w:ascii="arial" w:hAnsi="arial"/>
          <w:sz w:val="20"/>
        </w:rPr>
      </w:pPr>
      <w:r>
        <w:rPr>
          <w:rFonts w:ascii="arial" w:hAnsi="arial"/>
          <w:i/>
          <w:sz w:val="20"/>
          <w:u w:val="single"/>
        </w:rPr>
        <w:t>Beneficial Owners</w:t>
      </w:r>
      <w:r>
        <w:rPr>
          <w:rFonts w:ascii="arial" w:hAnsi="arial"/>
          <w:sz w:val="20"/>
        </w:rPr>
        <w:t xml:space="preserve">. You may participate in the Annual Meeting in one of two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If you wish to submit questions or vote during the Annual Meeting (rather than instructing your brokerage firm, bank or other nominee how to vote your shares), you must register in advance by providing our transfer agent, Computershare Trust Company, N.A. (“Computershare”) with your name, email address and a copy of a legal proxy from your brokerage firm, bank or other nominee reflecting your beneficial ownership. Registration requests must be in writing and mailed to Computershare Investor Services, Installed Building Products, Inc. – Legal Proxy, P.O. Box 43001, Providence, Rhode Island 02940-3001. Alternatively, you may forward a copy of the email from your broker granting you a legal proxy or forward an image of your legal proxy to legalproxy@computershare.com. Requests must be labeled “Legal Proxy” and be received no later than 5:00 p.m., Eastern Time, on May 16, 2025. You will receive an email from Computershare acknowledging your registration and providing you with a 15-digit control number. You can then listen to the Annual Meeting, submit questions and vote by going to </w:t>
            </w:r>
            <w:r>
              <w:rPr>
                <w:rFonts w:ascii="arial" w:hAnsi="arial"/>
                <w:color w:val="3A53A4"/>
                <w:sz w:val="20"/>
                <w:u w:val="single"/>
              </w:rPr>
              <w:t>https://meetnow.global/M4CN4WG</w:t>
            </w:r>
            <w:r>
              <w:rPr>
                <w:rFonts w:ascii="arial" w:hAnsi="arial"/>
                <w:sz w:val="20"/>
              </w:rPr>
              <w:t xml:space="preserve">, clicking on “Join Meeting Now” and entering under the stockholder tab your 15-digit control number.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If you wish to listen to the Annual Meeting, but do not wish to submit questions or vote during the Annual Meeting, you may go to </w:t>
            </w:r>
            <w:r>
              <w:rPr>
                <w:rFonts w:ascii="arial" w:hAnsi="arial"/>
                <w:color w:val="3A53A4"/>
                <w:sz w:val="20"/>
                <w:u w:val="single"/>
              </w:rPr>
              <w:t>https://meetnow.global/M4CN4WG</w:t>
            </w:r>
            <w:r>
              <w:rPr>
                <w:rFonts w:ascii="arial" w:hAnsi="arial"/>
                <w:i/>
                <w:sz w:val="20"/>
              </w:rPr>
              <w:t xml:space="preserve">, </w:t>
            </w:r>
            <w:r>
              <w:rPr>
                <w:rFonts w:ascii="arial" w:hAnsi="arial"/>
                <w:sz w:val="20"/>
              </w:rPr>
              <w:t xml:space="preserve">click on “Join Meeting Now” and then click on “Guest.” </w:t>
            </w:r>
          </w:p>
        </w:tc>
      </w:tr>
    </w:tbl>
    <w:p>
      <w:pPr>
        <w:pStyle w:val="TextBody"/>
        <w:bidi w:val="0"/>
        <w:spacing w:before="240" w:after="0"/>
        <w:jc w:val="left"/>
        <w:rPr>
          <w:rFonts w:ascii="arial" w:hAnsi="arial"/>
          <w:sz w:val="20"/>
        </w:rPr>
      </w:pPr>
      <w:r>
        <w:rPr>
          <w:rFonts w:ascii="arial" w:hAnsi="arial"/>
          <w:sz w:val="20"/>
        </w:rPr>
        <w:t xml:space="preserve">The virtual meeting platform is fully supported across browsers (MS Edge, Firefox, Chrome and Safari) and devices (desktops, laptops, tablets and cell phones) running the most up-to-date version of applicable software and plugins. Internet Explorer is not a supported browser. Participants should ensure that they have a strong Wi-Fi connection. We encourage you to access the meeting prior to the start time. For further assistance you may call 1-888-724-2416 within the U.S. or 1-781-575-2748 outside the U.S. An audio replay of the Annual Meeting will be available at </w:t>
      </w:r>
      <w:r>
        <w:rPr>
          <w:rFonts w:ascii="arial" w:hAnsi="arial"/>
          <w:i/>
          <w:color w:val="3A53A4"/>
          <w:sz w:val="20"/>
          <w:u w:val="single"/>
        </w:rPr>
        <w:t>https://edge.media-server.com/mmc/p/hwkrr9mc</w:t>
      </w:r>
      <w:r>
        <w:rPr>
          <w:rFonts w:ascii="arial" w:hAnsi="arial"/>
          <w:color w:val="3A53A4"/>
          <w:sz w:val="20"/>
          <w:u w:val="single"/>
        </w:rPr>
        <w:t xml:space="preserve"> </w:t>
      </w:r>
      <w:r>
        <w:rPr>
          <w:rFonts w:ascii="arial" w:hAnsi="arial"/>
          <w:sz w:val="20"/>
        </w:rPr>
        <w:t xml:space="preserve">for one year. </w:t>
      </w:r>
    </w:p>
    <w:p>
      <w:pPr>
        <w:pStyle w:val="TextBody"/>
        <w:bidi w:val="0"/>
        <w:spacing w:before="240" w:after="0"/>
        <w:jc w:val="left"/>
        <w:rPr>
          <w:rFonts w:ascii="arial" w:hAnsi="arial"/>
          <w:b/>
          <w:color w:val="1F295C"/>
          <w:sz w:val="24"/>
        </w:rPr>
      </w:pPr>
      <w:bookmarkStart w:id="121" w:name="toc849638_94"/>
      <w:bookmarkEnd w:id="121"/>
      <w:r>
        <w:rPr>
          <w:rFonts w:ascii="arial" w:hAnsi="arial"/>
          <w:b/>
          <w:color w:val="1F295C"/>
          <w:sz w:val="24"/>
        </w:rPr>
        <w:t xml:space="preserve">Who is Entitled to Vote; Quorum </w:t>
      </w:r>
    </w:p>
    <w:p>
      <w:pPr>
        <w:pStyle w:val="TextBody"/>
        <w:bidi w:val="0"/>
        <w:spacing w:before="240" w:after="0"/>
        <w:jc w:val="left"/>
        <w:rPr>
          <w:rFonts w:ascii="arial" w:hAnsi="arial"/>
          <w:sz w:val="20"/>
        </w:rPr>
      </w:pPr>
      <w:r>
        <w:rPr>
          <w:rFonts w:ascii="arial" w:hAnsi="arial"/>
          <w:sz w:val="20"/>
        </w:rPr>
        <w:t xml:space="preserve">Only holders of record of our common stock at the close of business on March 25, 2025, the record date for the Annual Meeting, are entitled to notice of and to vote at the Annual Meeting. Each share of common stock is entitled to one vote for each director nominee and one vote for each other matter to be voted on at the Annual Meeting. </w:t>
      </w:r>
    </w:p>
    <w:p>
      <w:pPr>
        <w:pStyle w:val="TextBody"/>
        <w:bidi w:val="0"/>
        <w:spacing w:before="240" w:after="0"/>
        <w:jc w:val="left"/>
        <w:rPr>
          <w:rFonts w:ascii="arial" w:hAnsi="arial"/>
          <w:sz w:val="20"/>
        </w:rPr>
      </w:pPr>
      <w:r>
        <w:rPr>
          <w:rFonts w:ascii="arial" w:hAnsi="arial"/>
          <w:sz w:val="20"/>
        </w:rPr>
        <w:t xml:space="preserve">A list of our stockholders entitled to vote at the Annual Meeting will be available for examination by any stockholder during ordinary business hours at our principal executive offices at 495 S. High Street, Suite 50, Columbus, Ohio 43215 for a period of ten days prior to the Annual Meeting. During the Annual Meeting, the list will be available at </w:t>
      </w:r>
      <w:r>
        <w:rPr>
          <w:rFonts w:ascii="arial" w:hAnsi="arial"/>
          <w:color w:val="3A53A4"/>
          <w:sz w:val="20"/>
          <w:u w:val="single"/>
        </w:rPr>
        <w:t>https://meetnow.global/M4CN4WG</w:t>
      </w:r>
      <w:r>
        <w:rPr>
          <w:rFonts w:ascii="arial" w:hAnsi="arial"/>
          <w:sz w:val="20"/>
        </w:rPr>
        <w:t xml:space="preserve">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Meeting and Voting Information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order to carry out the business of the Annual Meeting, a quorum must be present. A quorum is present if holders of at least a majority of the outstanding shares entitled to vote are present or represented by proxy at the Annual Meeting. Abstentions and broker non-votes are counted as present for purposes of determining a quorum. On the record date, we had 27,610,885 shares entitled to vote, meaning that at least 13,805,444 shares must be present or represented by proxy to have a quorum. If a quorum is not present, the Annual Meeting may be adjourned from time to time until a quorum is present. </w:t>
      </w:r>
    </w:p>
    <w:p>
      <w:pPr>
        <w:pStyle w:val="TextBody"/>
        <w:bidi w:val="0"/>
        <w:spacing w:before="240" w:after="0"/>
        <w:jc w:val="left"/>
        <w:rPr>
          <w:rFonts w:ascii="arial" w:hAnsi="arial"/>
          <w:b/>
          <w:color w:val="1F295C"/>
          <w:sz w:val="24"/>
        </w:rPr>
      </w:pPr>
      <w:bookmarkStart w:id="122" w:name="toc849638_95"/>
      <w:bookmarkEnd w:id="122"/>
      <w:r>
        <w:rPr>
          <w:rFonts w:ascii="arial" w:hAnsi="arial"/>
          <w:b/>
          <w:color w:val="1F295C"/>
          <w:sz w:val="24"/>
        </w:rPr>
        <w:t xml:space="preserve">How to Vote </w:t>
      </w:r>
    </w:p>
    <w:p>
      <w:pPr>
        <w:pStyle w:val="TextBody"/>
        <w:bidi w:val="0"/>
        <w:spacing w:before="240" w:after="0"/>
        <w:jc w:val="left"/>
        <w:rPr>
          <w:rFonts w:ascii="arial" w:hAnsi="arial"/>
          <w:sz w:val="20"/>
        </w:rPr>
      </w:pPr>
      <w:r>
        <w:rPr>
          <w:rFonts w:ascii="arial" w:hAnsi="arial"/>
          <w:i/>
          <w:sz w:val="20"/>
          <w:u w:val="single"/>
        </w:rPr>
        <w:t>Stockholders of Record</w:t>
      </w:r>
      <w:r>
        <w:rPr>
          <w:rFonts w:ascii="arial" w:hAnsi="arial"/>
          <w:sz w:val="20"/>
        </w:rPr>
        <w:t xml:space="preserve">. You may vote in any of the following ways. Votes must be received no later than the closing of the polls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0"/>
        <w:gridCol w:w="120"/>
        <w:gridCol w:w="907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75" w:type="dxa"/>
            <w:tcBorders/>
            <w:vAlign w:val="center"/>
          </w:tcPr>
          <w:p>
            <w:pPr>
              <w:pStyle w:val="TableContents"/>
              <w:bidi w:val="0"/>
              <w:spacing w:before="0" w:after="283"/>
              <w:jc w:val="left"/>
              <w:rPr>
                <w:sz w:val="4"/>
                <w:szCs w:val="4"/>
              </w:rPr>
            </w:pPr>
            <w:r>
              <w:rPr>
                <w:sz w:val="4"/>
                <w:szCs w:val="4"/>
              </w:rPr>
            </w:r>
          </w:p>
        </w:tc>
      </w:tr>
      <w:tr>
        <w:trPr/>
        <w:tc>
          <w:tcPr>
            <w:tcW w:w="1010" w:type="dxa"/>
            <w:tcBorders>
              <w:top w:val="single" w:sz="16" w:space="0" w:color="1070B8"/>
            </w:tcBorders>
            <w:shd w:fill="D5DBE3" w:val="clear"/>
            <w:tcMar>
              <w:top w:w="28" w:type="dxa"/>
            </w:tcMar>
            <w:vAlign w:val="center"/>
          </w:tcPr>
          <w:p>
            <w:pPr>
              <w:pStyle w:val="TableContents"/>
              <w:bidi w:val="0"/>
              <w:spacing w:before="0" w:after="283"/>
              <w:jc w:val="left"/>
              <w:rPr/>
            </w:pPr>
            <w:r>
              <w:rPr/>
              <w:t> </w:t>
            </w:r>
          </w:p>
        </w:tc>
        <w:tc>
          <w:tcPr>
            <w:tcW w:w="9195" w:type="dxa"/>
            <w:gridSpan w:val="2"/>
            <w:tcBorders>
              <w:top w:val="single" w:sz="16" w:space="0" w:color="1070B8"/>
            </w:tcBorders>
            <w:tcMar>
              <w:top w:w="28" w:type="dxa"/>
            </w:tcMar>
            <w:vAlign w:val="center"/>
          </w:tcPr>
          <w:p>
            <w:pPr>
              <w:pStyle w:val="TableContents"/>
              <w:bidi w:val="0"/>
              <w:spacing w:before="0" w:after="283"/>
              <w:jc w:val="left"/>
              <w:rPr/>
            </w:pPr>
            <w:r>
              <w:rPr/>
              <w:t> </w:t>
            </w:r>
          </w:p>
        </w:tc>
      </w:tr>
      <w:tr>
        <w:trPr/>
        <w:tc>
          <w:tcPr>
            <w:tcW w:w="1010" w:type="dxa"/>
            <w:tcBorders>
              <w:bottom w:val="single" w:sz="16" w:space="0" w:color="1070B8"/>
            </w:tcBorders>
            <w:shd w:fill="D5DBE3" w:val="clear"/>
            <w:tcMar>
              <w:bottom w:w="360" w:type="dxa"/>
            </w:tcMar>
            <w:vAlign w:val="center"/>
          </w:tcPr>
          <w:p>
            <w:pPr>
              <w:pStyle w:val="TableContents"/>
              <w:bidi w:val="0"/>
              <w:spacing w:before="0" w:after="20"/>
              <w:jc w:val="left"/>
              <w:rPr/>
            </w:pPr>
            <w:r>
              <w:rPr/>
              <w:t> </w:t>
            </w:r>
            <w:r>
              <w:rPr>
                <w:rFonts w:ascii="arial" w:hAnsi="arial"/>
                <w:b/>
                <w:sz w:val="20"/>
              </w:rPr>
              <w:t>Online</w:t>
            </w:r>
          </w:p>
        </w:tc>
        <w:tc>
          <w:tcPr>
            <w:tcW w:w="120" w:type="dxa"/>
            <w:tcBorders>
              <w:bottom w:val="single" w:sz="16" w:space="0" w:color="1070B8"/>
            </w:tcBorders>
            <w:tcMar>
              <w:bottom w:w="28" w:type="dxa"/>
            </w:tcMar>
            <w:vAlign w:val="center"/>
          </w:tcPr>
          <w:p>
            <w:pPr>
              <w:pStyle w:val="TableContents"/>
              <w:bidi w:val="0"/>
              <w:spacing w:before="0" w:after="283"/>
              <w:jc w:val="left"/>
              <w:rPr/>
            </w:pPr>
            <w:r>
              <w:rPr/>
              <w:t>  </w:t>
            </w:r>
          </w:p>
        </w:tc>
        <w:tc>
          <w:tcPr>
            <w:tcW w:w="9075" w:type="dxa"/>
            <w:tcBorders>
              <w:bottom w:val="single" w:sz="16" w:space="0" w:color="1070B8"/>
            </w:tcBorders>
            <w:tcMar>
              <w:bottom w:w="360" w:type="dxa"/>
            </w:tcMar>
            <w:vAlign w:val="center"/>
          </w:tcPr>
          <w:p>
            <w:pPr>
              <w:pStyle w:val="TableContents"/>
              <w:bidi w:val="0"/>
              <w:spacing w:before="0" w:after="20"/>
              <w:jc w:val="left"/>
              <w:rPr>
                <w:rFonts w:ascii="arial" w:hAnsi="arial"/>
                <w:sz w:val="20"/>
              </w:rPr>
            </w:pPr>
            <w:r>
              <w:rPr>
                <w:rFonts w:ascii="arial" w:hAnsi="arial"/>
                <w:sz w:val="20"/>
              </w:rPr>
              <w:t xml:space="preserve">You may vote online at </w:t>
            </w:r>
            <w:r>
              <w:rPr>
                <w:rFonts w:ascii="arial" w:hAnsi="arial"/>
                <w:i/>
                <w:color w:val="3A53A4"/>
                <w:sz w:val="20"/>
                <w:u w:val="single"/>
              </w:rPr>
              <w:t>www.envisionreports.com/IBP</w:t>
            </w:r>
            <w:r>
              <w:rPr>
                <w:rFonts w:ascii="arial" w:hAnsi="arial"/>
                <w:sz w:val="20"/>
              </w:rPr>
              <w:t>, 24 hours a day, seven days a week.</w:t>
            </w:r>
          </w:p>
        </w:tc>
      </w:tr>
      <w:tr>
        <w:trPr/>
        <w:tc>
          <w:tcPr>
            <w:tcW w:w="1010" w:type="dxa"/>
            <w:tcBorders/>
            <w:shd w:fill="D5DBE3" w:val="clear"/>
            <w:vAlign w:val="center"/>
          </w:tcPr>
          <w:p>
            <w:pPr>
              <w:pStyle w:val="TableContents"/>
              <w:bidi w:val="0"/>
              <w:spacing w:before="0" w:after="283"/>
              <w:jc w:val="left"/>
              <w:rPr>
                <w:sz w:val="4"/>
                <w:szCs w:val="4"/>
              </w:rPr>
            </w:pPr>
            <w:r>
              <w:rPr>
                <w:sz w:val="4"/>
                <w:szCs w:val="4"/>
              </w:rPr>
            </w:r>
          </w:p>
        </w:tc>
        <w:tc>
          <w:tcPr>
            <w:tcW w:w="9195"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16" w:space="0" w:color="1070B8"/>
            </w:tcBorders>
            <w:shd w:fill="D5DBE3" w:val="clear"/>
            <w:tcMar>
              <w:bottom w:w="360" w:type="dxa"/>
            </w:tcMar>
            <w:vAlign w:val="center"/>
          </w:tcPr>
          <w:p>
            <w:pPr>
              <w:pStyle w:val="TableContents"/>
              <w:bidi w:val="0"/>
              <w:spacing w:before="0" w:after="20"/>
              <w:jc w:val="left"/>
              <w:rPr/>
            </w:pPr>
            <w:r>
              <w:rPr/>
              <w:t> </w:t>
            </w:r>
            <w:r>
              <w:rPr>
                <w:rFonts w:ascii="arial" w:hAnsi="arial"/>
                <w:b/>
                <w:sz w:val="20"/>
              </w:rPr>
              <w:t>By Phone </w:t>
            </w:r>
          </w:p>
        </w:tc>
        <w:tc>
          <w:tcPr>
            <w:tcW w:w="120" w:type="dxa"/>
            <w:tcBorders>
              <w:bottom w:val="single" w:sz="16" w:space="0" w:color="1070B8"/>
            </w:tcBorders>
            <w:tcMar>
              <w:bottom w:w="28" w:type="dxa"/>
            </w:tcMar>
            <w:vAlign w:val="center"/>
          </w:tcPr>
          <w:p>
            <w:pPr>
              <w:pStyle w:val="TableContents"/>
              <w:bidi w:val="0"/>
              <w:spacing w:before="0" w:after="283"/>
              <w:jc w:val="left"/>
              <w:rPr/>
            </w:pPr>
            <w:r>
              <w:rPr/>
              <w:t>  </w:t>
            </w:r>
          </w:p>
        </w:tc>
        <w:tc>
          <w:tcPr>
            <w:tcW w:w="9075" w:type="dxa"/>
            <w:tcBorders>
              <w:bottom w:val="single" w:sz="16" w:space="0" w:color="1070B8"/>
            </w:tcBorders>
            <w:tcMar>
              <w:bottom w:w="360" w:type="dxa"/>
            </w:tcMar>
            <w:vAlign w:val="center"/>
          </w:tcPr>
          <w:p>
            <w:pPr>
              <w:pStyle w:val="TableContents"/>
              <w:bidi w:val="0"/>
              <w:spacing w:before="0" w:after="20"/>
              <w:jc w:val="left"/>
              <w:rPr>
                <w:rFonts w:ascii="arial" w:hAnsi="arial"/>
                <w:sz w:val="20"/>
              </w:rPr>
            </w:pPr>
            <w:r>
              <w:rPr>
                <w:rFonts w:ascii="arial" w:hAnsi="arial"/>
                <w:sz w:val="20"/>
              </w:rPr>
              <w:t>You may vote by calling 1-800-652-8683, 24 hours a day, seven days a week.</w:t>
            </w:r>
          </w:p>
        </w:tc>
      </w:tr>
      <w:tr>
        <w:trPr/>
        <w:tc>
          <w:tcPr>
            <w:tcW w:w="1010" w:type="dxa"/>
            <w:tcBorders/>
            <w:shd w:fill="D5DBE3" w:val="clear"/>
            <w:vAlign w:val="center"/>
          </w:tcPr>
          <w:p>
            <w:pPr>
              <w:pStyle w:val="TableContents"/>
              <w:bidi w:val="0"/>
              <w:spacing w:before="0" w:after="283"/>
              <w:jc w:val="left"/>
              <w:rPr>
                <w:sz w:val="4"/>
                <w:szCs w:val="4"/>
              </w:rPr>
            </w:pPr>
            <w:r>
              <w:rPr>
                <w:sz w:val="4"/>
                <w:szCs w:val="4"/>
              </w:rPr>
            </w:r>
          </w:p>
        </w:tc>
        <w:tc>
          <w:tcPr>
            <w:tcW w:w="9195"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16" w:space="0" w:color="1070B8"/>
            </w:tcBorders>
            <w:shd w:fill="D5DBE3" w:val="clear"/>
            <w:tcMar>
              <w:bottom w:w="60" w:type="dxa"/>
            </w:tcMar>
            <w:vAlign w:val="center"/>
          </w:tcPr>
          <w:p>
            <w:pPr>
              <w:pStyle w:val="TableContents"/>
              <w:bidi w:val="0"/>
              <w:spacing w:before="0" w:after="0"/>
              <w:jc w:val="left"/>
              <w:rPr/>
            </w:pPr>
            <w:r>
              <w:rPr/>
              <w:t> </w:t>
            </w:r>
            <w:r>
              <w:rPr>
                <w:rFonts w:ascii="arial" w:hAnsi="arial"/>
                <w:b/>
                <w:sz w:val="20"/>
              </w:rPr>
              <w:t>By Mail</w:t>
            </w:r>
          </w:p>
        </w:tc>
        <w:tc>
          <w:tcPr>
            <w:tcW w:w="120" w:type="dxa"/>
            <w:tcBorders>
              <w:bottom w:val="single" w:sz="16" w:space="0" w:color="1070B8"/>
            </w:tcBorders>
            <w:tcMar>
              <w:bottom w:w="28" w:type="dxa"/>
            </w:tcMar>
            <w:vAlign w:val="center"/>
          </w:tcPr>
          <w:p>
            <w:pPr>
              <w:pStyle w:val="TableContents"/>
              <w:bidi w:val="0"/>
              <w:spacing w:before="0" w:after="283"/>
              <w:jc w:val="left"/>
              <w:rPr/>
            </w:pPr>
            <w:r>
              <w:rPr/>
              <w:t>  </w:t>
            </w:r>
          </w:p>
        </w:tc>
        <w:tc>
          <w:tcPr>
            <w:tcW w:w="9075" w:type="dxa"/>
            <w:tcBorders>
              <w:bottom w:val="single" w:sz="16" w:space="0" w:color="1070B8"/>
            </w:tcBorders>
            <w:tcMar>
              <w:bottom w:w="60" w:type="dxa"/>
            </w:tcMar>
            <w:vAlign w:val="center"/>
          </w:tcPr>
          <w:p>
            <w:pPr>
              <w:pStyle w:val="TableContents"/>
              <w:bidi w:val="0"/>
              <w:spacing w:before="0" w:after="283"/>
              <w:jc w:val="left"/>
              <w:rPr/>
            </w:pPr>
            <w:r>
              <w:rPr/>
              <w:t>If you received printed proxy materials, you may vote by completing, signing and dating each proxy card and returning it in the prepaid envelope to Computershare Investor Services. Sign your name exactly as it appears on the proxy card.</w:t>
            </w:r>
          </w:p>
        </w:tc>
      </w:tr>
      <w:tr>
        <w:trPr/>
        <w:tc>
          <w:tcPr>
            <w:tcW w:w="1010" w:type="dxa"/>
            <w:tcBorders/>
            <w:shd w:fill="D5DBE3" w:val="clear"/>
            <w:vAlign w:val="center"/>
          </w:tcPr>
          <w:p>
            <w:pPr>
              <w:pStyle w:val="TableContents"/>
              <w:bidi w:val="0"/>
              <w:spacing w:before="0" w:after="283"/>
              <w:jc w:val="left"/>
              <w:rPr>
                <w:sz w:val="4"/>
                <w:szCs w:val="4"/>
              </w:rPr>
            </w:pPr>
            <w:r>
              <w:rPr>
                <w:sz w:val="4"/>
                <w:szCs w:val="4"/>
              </w:rPr>
            </w:r>
          </w:p>
        </w:tc>
        <w:tc>
          <w:tcPr>
            <w:tcW w:w="9195"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16" w:space="0" w:color="1070B8"/>
            </w:tcBorders>
            <w:shd w:fill="D5DBE3" w:val="clear"/>
            <w:tcMar>
              <w:bottom w:w="28" w:type="dxa"/>
            </w:tcMar>
            <w:vAlign w:val="center"/>
          </w:tcPr>
          <w:p>
            <w:pPr>
              <w:pStyle w:val="TableContents"/>
              <w:bidi w:val="0"/>
              <w:spacing w:before="0" w:after="0"/>
              <w:jc w:val="left"/>
              <w:rPr/>
            </w:pPr>
            <w:r>
              <w:rPr/>
              <w:t> </w:t>
            </w:r>
            <w:r>
              <w:rPr>
                <w:rFonts w:ascii="arial" w:hAnsi="arial"/>
                <w:b/>
                <w:sz w:val="20"/>
              </w:rPr>
              <w:t>At the</w:t>
            </w:r>
          </w:p>
          <w:p>
            <w:pPr>
              <w:pStyle w:val="TableContents"/>
              <w:bidi w:val="0"/>
              <w:spacing w:before="0" w:after="0"/>
              <w:jc w:val="left"/>
              <w:rPr/>
            </w:pPr>
            <w:r>
              <w:rPr/>
              <w:t> </w:t>
            </w:r>
            <w:r>
              <w:rPr>
                <w:rFonts w:ascii="arial" w:hAnsi="arial"/>
                <w:b/>
                <w:sz w:val="20"/>
              </w:rPr>
              <w:t>Annual</w:t>
            </w:r>
          </w:p>
          <w:p>
            <w:pPr>
              <w:pStyle w:val="TableContents"/>
              <w:bidi w:val="0"/>
              <w:spacing w:before="0" w:after="20"/>
              <w:jc w:val="left"/>
              <w:rPr/>
            </w:pPr>
            <w:r>
              <w:rPr/>
              <w:t> </w:t>
            </w:r>
            <w:r>
              <w:rPr>
                <w:rFonts w:ascii="arial" w:hAnsi="arial"/>
                <w:b/>
                <w:sz w:val="20"/>
              </w:rPr>
              <w:t>Meeting</w:t>
            </w:r>
          </w:p>
        </w:tc>
        <w:tc>
          <w:tcPr>
            <w:tcW w:w="120" w:type="dxa"/>
            <w:tcBorders>
              <w:bottom w:val="single" w:sz="16" w:space="0" w:color="1070B8"/>
            </w:tcBorders>
            <w:tcMar>
              <w:bottom w:w="28" w:type="dxa"/>
            </w:tcMar>
            <w:vAlign w:val="center"/>
          </w:tcPr>
          <w:p>
            <w:pPr>
              <w:pStyle w:val="TableContents"/>
              <w:bidi w:val="0"/>
              <w:spacing w:before="0" w:after="283"/>
              <w:jc w:val="left"/>
              <w:rPr/>
            </w:pPr>
            <w:r>
              <w:rPr/>
              <w:t>  </w:t>
            </w:r>
          </w:p>
        </w:tc>
        <w:tc>
          <w:tcPr>
            <w:tcW w:w="9075" w:type="dxa"/>
            <w:tcBorders>
              <w:bottom w:val="single" w:sz="16" w:space="0" w:color="1070B8"/>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Instructions on how to vote during the Annual Meeting are posted at</w:t>
              <w:br/>
            </w:r>
            <w:r>
              <w:rPr>
                <w:rFonts w:ascii="arial" w:hAnsi="arial"/>
                <w:color w:val="3A53A4"/>
                <w:sz w:val="20"/>
                <w:u w:val="single"/>
              </w:rPr>
              <w:t>https://meetnow.global/M4CN4WG</w:t>
            </w:r>
            <w:r>
              <w:rPr>
                <w:rFonts w:ascii="arial" w:hAnsi="arial"/>
                <w:sz w:val="20"/>
              </w:rPr>
              <w:t>.</w:t>
            </w:r>
          </w:p>
        </w:tc>
      </w:tr>
    </w:tbl>
    <w:p>
      <w:pPr>
        <w:pStyle w:val="TextBody"/>
        <w:bidi w:val="0"/>
        <w:spacing w:before="240" w:after="0"/>
        <w:jc w:val="left"/>
        <w:rPr>
          <w:rFonts w:ascii="arial" w:hAnsi="arial"/>
          <w:sz w:val="20"/>
        </w:rPr>
      </w:pPr>
      <w:r>
        <w:rPr>
          <w:rFonts w:ascii="arial" w:hAnsi="arial"/>
          <w:sz w:val="20"/>
        </w:rPr>
        <w:t xml:space="preserve">Voting online, by phone or at the Annual Meeting authorizes the persons named as proxies to vote as you direct in the same manner as if you had completed, signed, dated and returned a proxy card. If you vote online or by phone, or plan to vote during the Annual Meeting, do not return your proxy card(s). If you do not vote by any of the methods listed above, your shares will not be voted. If you submit a proxy but fail to provide voting instructions, your proxy will be voted in the manner recommended by the Board of Directors. </w:t>
      </w:r>
    </w:p>
    <w:p>
      <w:pPr>
        <w:pStyle w:val="TextBody"/>
        <w:bidi w:val="0"/>
        <w:spacing w:before="240" w:after="0"/>
        <w:jc w:val="left"/>
        <w:rPr>
          <w:rFonts w:ascii="arial" w:hAnsi="arial"/>
          <w:sz w:val="20"/>
        </w:rPr>
      </w:pPr>
      <w:r>
        <w:rPr>
          <w:rFonts w:ascii="arial" w:hAnsi="arial"/>
          <w:sz w:val="20"/>
        </w:rPr>
        <w:t xml:space="preserve">If you received more than one proxy card or Notice, your shares are registered in more than one name or are registered in multiple accounts. To make certain all of your shares are voted, please complete, sign, date and return each proxy card, or if you vote online, by telephone or at the Annual Meeting, vote once for each Notice you received. </w:t>
      </w:r>
    </w:p>
    <w:p>
      <w:pPr>
        <w:pStyle w:val="TextBody"/>
        <w:bidi w:val="0"/>
        <w:spacing w:before="240" w:after="0"/>
        <w:jc w:val="left"/>
        <w:rPr>
          <w:rFonts w:ascii="arial" w:hAnsi="arial"/>
          <w:sz w:val="20"/>
        </w:rPr>
      </w:pPr>
      <w:r>
        <w:rPr>
          <w:rFonts w:ascii="arial" w:hAnsi="arial"/>
          <w:i/>
          <w:sz w:val="20"/>
          <w:u w:val="single"/>
        </w:rPr>
        <w:t>Beneficial Owners</w:t>
      </w:r>
      <w:r>
        <w:rPr>
          <w:rFonts w:ascii="arial" w:hAnsi="arial"/>
          <w:sz w:val="20"/>
          <w:u w:val="single"/>
        </w:rPr>
        <w:t>.</w:t>
      </w:r>
      <w:r>
        <w:rPr>
          <w:rFonts w:ascii="arial" w:hAnsi="arial"/>
          <w:sz w:val="20"/>
        </w:rPr>
        <w:t xml:space="preserve"> If you are a beneficial owner, the organization holding your account is the stockholder of record for purposes of participating in and voting at the Annual Meeting; however, you have the right to direct that organization how to vote the shares in your account by following the instructions provided by the organization. Alternatively, you may vote your shares directly at the Annual Meeting by obtaining a legal proxy from your brokerage firm, bank or other nominee and registering in advance to participate in the Annual Meeting. See “</w:t>
      </w:r>
      <w:r>
        <w:rPr>
          <w:rFonts w:ascii="arial" w:hAnsi="arial"/>
          <w:i/>
          <w:sz w:val="20"/>
        </w:rPr>
        <w:t>Attending the Annual Meeting</w:t>
      </w:r>
      <w:r>
        <w:rPr>
          <w:rFonts w:ascii="arial" w:hAnsi="arial"/>
          <w:sz w:val="20"/>
        </w:rPr>
        <w:t xml:space="preserve">” above. When you receive your registration confirmation, you may vote in any of the ways in which a stockholder of record may vote described above (except by mail). </w:t>
      </w:r>
    </w:p>
    <w:p>
      <w:pPr>
        <w:pStyle w:val="TextBody"/>
        <w:bidi w:val="0"/>
        <w:spacing w:before="240" w:after="0"/>
        <w:jc w:val="left"/>
        <w:rPr>
          <w:rFonts w:ascii="arial" w:hAnsi="arial"/>
          <w:sz w:val="20"/>
        </w:rPr>
      </w:pPr>
      <w:r>
        <w:rPr>
          <w:rFonts w:ascii="arial" w:hAnsi="arial"/>
          <w:sz w:val="20"/>
        </w:rPr>
        <w:t xml:space="preserve">The availability of online and telephone voting will depend on the voting procedures established by your broker, bank or other nominee. If you do not provide voting instructions to the organization holding your account, the organization may vote your shares on certain routine, or “discretionary,” matters. The ratification of the appointment of our independent registered public accounting firm is a discretionary matter. On this proposal, the organization holding your account may either vote your shares in the absence of your instructions or may choose not to vote your shares. The remaining proposals are not considered discretionary and cannot be voted without your instructions, which is called a “broker non-vote.” In the case of a broker non-vote, your shares will not have any effect on the outcome of the proposal. If you registered in advance to participate in the Annual Meeting but do not vote your shares online, by phone or during the Annual Meeting, your shares will not be voted.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Meeting and Voting Information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F295C"/>
          <w:sz w:val="24"/>
        </w:rPr>
      </w:pPr>
      <w:bookmarkStart w:id="123" w:name="toc849638_96"/>
      <w:bookmarkEnd w:id="123"/>
      <w:r>
        <w:rPr>
          <w:rFonts w:ascii="arial" w:hAnsi="arial"/>
          <w:b/>
          <w:color w:val="1F295C"/>
          <w:sz w:val="24"/>
        </w:rPr>
        <w:t xml:space="preserve">Revoking your Proxy or Changing your Vote </w:t>
      </w:r>
    </w:p>
    <w:p>
      <w:pPr>
        <w:pStyle w:val="TextBody"/>
        <w:bidi w:val="0"/>
        <w:spacing w:before="240" w:after="0"/>
        <w:jc w:val="left"/>
        <w:rPr>
          <w:rFonts w:ascii="arial" w:hAnsi="arial"/>
          <w:sz w:val="20"/>
        </w:rPr>
      </w:pPr>
      <w:r>
        <w:rPr>
          <w:rFonts w:ascii="arial" w:hAnsi="arial"/>
          <w:i/>
          <w:sz w:val="20"/>
          <w:u w:val="single"/>
        </w:rPr>
        <w:t>Stockholders of Record</w:t>
      </w:r>
      <w:r>
        <w:rPr>
          <w:rFonts w:ascii="arial" w:hAnsi="arial"/>
          <w:sz w:val="20"/>
        </w:rPr>
        <w:t xml:space="preserve">. You may revoke your proxy or change your vote at any time before the closing of the polls at the Annual Meeting by: </w:t>
      </w:r>
    </w:p>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200"/>
        <w:gridCol w:w="60"/>
        <w:gridCol w:w="49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left"/>
              <w:rPr>
                <w:rFonts w:ascii="arial" w:hAnsi="arial"/>
                <w:sz w:val="20"/>
              </w:rPr>
            </w:pPr>
            <w:r>
              <w:rPr>
                <w:rFonts w:ascii="arial" w:hAnsi="arial"/>
                <w:sz w:val="20"/>
              </w:rPr>
              <w:t xml:space="preserve">signing and returning a new proxy card with a later date;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200"/>
        <w:gridCol w:w="60"/>
        <w:gridCol w:w="77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left"/>
              <w:rPr>
                <w:rFonts w:ascii="arial" w:hAnsi="arial"/>
                <w:sz w:val="20"/>
              </w:rPr>
            </w:pPr>
            <w:r>
              <w:rPr>
                <w:rFonts w:ascii="arial" w:hAnsi="arial"/>
                <w:sz w:val="20"/>
              </w:rPr>
              <w:t xml:space="preserve">submitting a later-dated vote online or by phone — only your latest vote will be counted;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200"/>
        <w:gridCol w:w="60"/>
        <w:gridCol w:w="60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arial" w:hAnsi="arial"/>
                <w:sz w:val="20"/>
              </w:rPr>
            </w:pPr>
            <w:r>
              <w:rPr>
                <w:rFonts w:ascii="arial" w:hAnsi="arial"/>
                <w:sz w:val="20"/>
              </w:rPr>
              <w:t xml:space="preserve">participating in the Annual Meeting and voting during the meeting;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1F295C"/>
              </w:rPr>
            </w:pPr>
            <w:r>
              <w:rPr>
                <w:color w:val="1F295C"/>
              </w:rPr>
              <w:t>◾</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delivering a written revocation to our Corporate Secretary at Installed Building Products, Inc., 495 South High Street, Suite 50, Columbus, Ohio 43215, which must be received no later than May 19, 2025. </w:t>
            </w:r>
          </w:p>
        </w:tc>
      </w:tr>
    </w:tbl>
    <w:p>
      <w:pPr>
        <w:pStyle w:val="TextBody"/>
        <w:bidi w:val="0"/>
        <w:spacing w:before="240" w:after="0"/>
        <w:jc w:val="left"/>
        <w:rPr>
          <w:rFonts w:ascii="arial" w:hAnsi="arial"/>
          <w:sz w:val="20"/>
        </w:rPr>
      </w:pPr>
      <w:r>
        <w:rPr>
          <w:rFonts w:ascii="arial" w:hAnsi="arial"/>
          <w:sz w:val="20"/>
        </w:rPr>
        <w:t xml:space="preserve">Participating in the Annual Meeting without voting during the meeting will not cause a previously submitted vote to be revoked unless you specifically request that your prior vote be revoked. </w:t>
      </w:r>
    </w:p>
    <w:p>
      <w:pPr>
        <w:pStyle w:val="TextBody"/>
        <w:bidi w:val="0"/>
        <w:spacing w:before="240" w:after="0"/>
        <w:jc w:val="left"/>
        <w:rPr>
          <w:rFonts w:ascii="arial" w:hAnsi="arial"/>
          <w:sz w:val="20"/>
        </w:rPr>
      </w:pPr>
      <w:r>
        <w:rPr>
          <w:rFonts w:ascii="arial" w:hAnsi="arial"/>
          <w:i/>
          <w:sz w:val="20"/>
          <w:u w:val="single"/>
        </w:rPr>
        <w:t>Beneficial Owners</w:t>
      </w:r>
      <w:r>
        <w:rPr>
          <w:rFonts w:ascii="arial" w:hAnsi="arial"/>
          <w:sz w:val="20"/>
        </w:rPr>
        <w:t xml:space="preserve">. You should contact the broker, bank or other nominee holding your shares to obtain instructions for revoking or changing your vote. If you register in advance to participate in the Annual Meeting, you may change your vote by submitting a later-dated vote online, by phone or by voting during the meeting. </w:t>
      </w:r>
    </w:p>
    <w:p>
      <w:pPr>
        <w:pStyle w:val="TextBody"/>
        <w:bidi w:val="0"/>
        <w:spacing w:before="240" w:after="0"/>
        <w:jc w:val="left"/>
        <w:rPr>
          <w:rFonts w:ascii="arial" w:hAnsi="arial"/>
          <w:b/>
          <w:color w:val="1F295C"/>
          <w:sz w:val="24"/>
        </w:rPr>
      </w:pPr>
      <w:bookmarkStart w:id="124" w:name="toc849638_97"/>
      <w:bookmarkEnd w:id="124"/>
      <w:r>
        <w:rPr>
          <w:rFonts w:ascii="arial" w:hAnsi="arial"/>
          <w:b/>
          <w:color w:val="1F295C"/>
          <w:sz w:val="24"/>
        </w:rPr>
        <w:t xml:space="preserve">Votes Required to Approve each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95"/>
        <w:gridCol w:w="120"/>
        <w:gridCol w:w="4190"/>
      </w:tblGrid>
      <w:tr>
        <w:trPr/>
        <w:tc>
          <w:tcPr>
            <w:tcW w:w="5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r>
      <w:tr>
        <w:trPr/>
        <w:tc>
          <w:tcPr>
            <w:tcW w:w="5895" w:type="dxa"/>
            <w:tcBorders>
              <w:bottom w:val="single" w:sz="16" w:space="0" w:color="1070B8"/>
            </w:tcBorders>
            <w:tcMar>
              <w:bottom w:w="60" w:type="dxa"/>
            </w:tcMar>
            <w:vAlign w:val="center"/>
          </w:tcPr>
          <w:p>
            <w:pPr>
              <w:pStyle w:val="TableContents"/>
              <w:bidi w:val="0"/>
              <w:spacing w:before="0" w:after="283"/>
              <w:jc w:val="center"/>
              <w:rPr>
                <w:b/>
                <w:color w:val="1070B8"/>
              </w:rPr>
            </w:pPr>
            <w:r>
              <w:rPr>
                <w:b/>
                <w:color w:val="1070B8"/>
              </w:rPr>
              <w:t>Proposal</w:t>
            </w:r>
          </w:p>
        </w:tc>
        <w:tc>
          <w:tcPr>
            <w:tcW w:w="120" w:type="dxa"/>
            <w:tcBorders>
              <w:bottom w:val="single" w:sz="16" w:space="0" w:color="1070B8"/>
            </w:tcBorders>
            <w:tcMar>
              <w:bottom w:w="28" w:type="dxa"/>
            </w:tcMar>
            <w:vAlign w:val="center"/>
          </w:tcPr>
          <w:p>
            <w:pPr>
              <w:pStyle w:val="TableContents"/>
              <w:bidi w:val="0"/>
              <w:spacing w:before="0" w:after="283"/>
              <w:jc w:val="left"/>
              <w:rPr/>
            </w:pPr>
            <w:r>
              <w:rPr/>
              <w:t>  </w:t>
            </w:r>
          </w:p>
        </w:tc>
        <w:tc>
          <w:tcPr>
            <w:tcW w:w="4190" w:type="dxa"/>
            <w:tcBorders>
              <w:bottom w:val="single" w:sz="16" w:space="0" w:color="1070B8"/>
            </w:tcBorders>
            <w:tcMar>
              <w:bottom w:w="60" w:type="dxa"/>
            </w:tcMar>
            <w:vAlign w:val="center"/>
          </w:tcPr>
          <w:p>
            <w:pPr>
              <w:pStyle w:val="TableContents"/>
              <w:bidi w:val="0"/>
              <w:spacing w:before="0" w:after="283"/>
              <w:jc w:val="center"/>
              <w:rPr>
                <w:b/>
                <w:color w:val="1070B8"/>
              </w:rPr>
            </w:pPr>
            <w:r>
              <w:rPr>
                <w:b/>
                <w:color w:val="1070B8"/>
              </w:rPr>
              <w:t>Required Vote</w:t>
            </w:r>
          </w:p>
        </w:tc>
      </w:tr>
      <w:tr>
        <w:trPr/>
        <w:tc>
          <w:tcPr>
            <w:tcW w:w="5895" w:type="dxa"/>
            <w:tcBorders>
              <w:bottom w:val="single" w:sz="8" w:space="0" w:color="1F295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sz w:val="20"/>
                <w:u w:val="single"/>
              </w:rPr>
              <w:t>Proposal 1</w:t>
            </w:r>
            <w:r>
              <w:rPr>
                <w:rFonts w:ascii="arial" w:hAnsi="arial"/>
                <w:sz w:val="20"/>
              </w:rPr>
              <w:t xml:space="preserve"> – Election of Jeffrey W. Edwards, Lawrence A. Hilsheimer and Janet E. Jackson as directors to serve for three-year terms</w:t>
            </w:r>
          </w:p>
          <w:p>
            <w:pPr>
              <w:pStyle w:val="TableContents"/>
              <w:bidi w:val="0"/>
              <w:spacing w:before="0" w:after="20"/>
              <w:jc w:val="left"/>
              <w:rPr/>
            </w:pPr>
            <w:r>
              <w:rPr/>
              <w:t> </w:t>
            </w:r>
          </w:p>
        </w:tc>
        <w:tc>
          <w:tcPr>
            <w:tcW w:w="120" w:type="dxa"/>
            <w:tcBorders>
              <w:bottom w:val="single" w:sz="8" w:space="0" w:color="1F295C"/>
            </w:tcBorders>
            <w:tcMar>
              <w:bottom w:w="28" w:type="dxa"/>
            </w:tcMar>
            <w:vAlign w:val="center"/>
          </w:tcPr>
          <w:p>
            <w:pPr>
              <w:pStyle w:val="TableContents"/>
              <w:bidi w:val="0"/>
              <w:spacing w:before="0" w:after="283"/>
              <w:jc w:val="left"/>
              <w:rPr/>
            </w:pPr>
            <w:r>
              <w:rPr/>
              <w:t>  </w:t>
            </w:r>
          </w:p>
        </w:tc>
        <w:tc>
          <w:tcPr>
            <w:tcW w:w="4190" w:type="dxa"/>
            <w:tcBorders>
              <w:bottom w:val="single" w:sz="8" w:space="0" w:color="1F295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Majority of the votes cast at the Annual Meeting</w:t>
            </w:r>
          </w:p>
          <w:p>
            <w:pPr>
              <w:pStyle w:val="TableContents"/>
              <w:bidi w:val="0"/>
              <w:spacing w:before="0" w:after="20"/>
              <w:jc w:val="left"/>
              <w:rPr/>
            </w:pPr>
            <w:r>
              <w:rPr/>
              <w:t> </w:t>
            </w:r>
          </w:p>
        </w:tc>
      </w:tr>
      <w:tr>
        <w:trPr/>
        <w:tc>
          <w:tcPr>
            <w:tcW w:w="5895" w:type="dxa"/>
            <w:tcBorders>
              <w:bottom w:val="single" w:sz="8" w:space="0" w:color="1F295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sz w:val="20"/>
                <w:u w:val="single"/>
              </w:rPr>
              <w:t>Proposal 2</w:t>
            </w:r>
            <w:r>
              <w:rPr>
                <w:rFonts w:ascii="arial" w:hAnsi="arial"/>
                <w:sz w:val="20"/>
              </w:rPr>
              <w:t xml:space="preserve"> – Ratification of the appointment of Deloitte &amp; Touche LLP as our independent registered public accounting firm for 2025</w:t>
            </w:r>
          </w:p>
          <w:p>
            <w:pPr>
              <w:pStyle w:val="TableContents"/>
              <w:bidi w:val="0"/>
              <w:spacing w:before="0" w:after="20"/>
              <w:jc w:val="left"/>
              <w:rPr/>
            </w:pPr>
            <w:r>
              <w:rPr/>
              <w:t> </w:t>
            </w:r>
          </w:p>
        </w:tc>
        <w:tc>
          <w:tcPr>
            <w:tcW w:w="120" w:type="dxa"/>
            <w:tcBorders>
              <w:bottom w:val="single" w:sz="8" w:space="0" w:color="1F295C"/>
            </w:tcBorders>
            <w:tcMar>
              <w:bottom w:w="28" w:type="dxa"/>
            </w:tcMar>
            <w:vAlign w:val="center"/>
          </w:tcPr>
          <w:p>
            <w:pPr>
              <w:pStyle w:val="TableContents"/>
              <w:bidi w:val="0"/>
              <w:spacing w:before="0" w:after="283"/>
              <w:jc w:val="left"/>
              <w:rPr/>
            </w:pPr>
            <w:r>
              <w:rPr/>
              <w:t>  </w:t>
            </w:r>
          </w:p>
        </w:tc>
        <w:tc>
          <w:tcPr>
            <w:tcW w:w="4190" w:type="dxa"/>
            <w:tcBorders>
              <w:bottom w:val="single" w:sz="8" w:space="0" w:color="1F295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Majority of the shares present or represented by proxy at the Annual Meeting and entitled to vote</w:t>
            </w:r>
          </w:p>
          <w:p>
            <w:pPr>
              <w:pStyle w:val="TableContents"/>
              <w:bidi w:val="0"/>
              <w:spacing w:before="0" w:after="20"/>
              <w:jc w:val="left"/>
              <w:rPr/>
            </w:pPr>
            <w:r>
              <w:rPr/>
              <w:t> </w:t>
            </w:r>
          </w:p>
        </w:tc>
      </w:tr>
      <w:tr>
        <w:trPr/>
        <w:tc>
          <w:tcPr>
            <w:tcW w:w="5895" w:type="dxa"/>
            <w:tcBorders>
              <w:bottom w:val="single" w:sz="16" w:space="0" w:color="1070B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sz w:val="20"/>
                <w:u w:val="single"/>
              </w:rPr>
              <w:t>Proposal 3</w:t>
            </w:r>
            <w:r>
              <w:rPr>
                <w:rFonts w:ascii="arial" w:hAnsi="arial"/>
                <w:sz w:val="20"/>
              </w:rPr>
              <w:t xml:space="preserve"> – Approval, on an advisory basis, of the compensation of our named executive officers</w:t>
            </w:r>
          </w:p>
          <w:p>
            <w:pPr>
              <w:pStyle w:val="TableContents"/>
              <w:bidi w:val="0"/>
              <w:spacing w:before="0" w:after="20"/>
              <w:jc w:val="left"/>
              <w:rPr/>
            </w:pPr>
            <w:r>
              <w:rPr/>
              <w:t> </w:t>
            </w:r>
          </w:p>
        </w:tc>
        <w:tc>
          <w:tcPr>
            <w:tcW w:w="120" w:type="dxa"/>
            <w:tcBorders>
              <w:bottom w:val="single" w:sz="16" w:space="0" w:color="1070B8"/>
            </w:tcBorders>
            <w:tcMar>
              <w:bottom w:w="28" w:type="dxa"/>
            </w:tcMar>
            <w:vAlign w:val="center"/>
          </w:tcPr>
          <w:p>
            <w:pPr>
              <w:pStyle w:val="TableContents"/>
              <w:bidi w:val="0"/>
              <w:spacing w:before="0" w:after="283"/>
              <w:jc w:val="left"/>
              <w:rPr/>
            </w:pPr>
            <w:r>
              <w:rPr/>
              <w:t>  </w:t>
            </w:r>
          </w:p>
        </w:tc>
        <w:tc>
          <w:tcPr>
            <w:tcW w:w="4190" w:type="dxa"/>
            <w:tcBorders>
              <w:bottom w:val="single" w:sz="16" w:space="0" w:color="1070B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Majority of the shares present or represented by proxy at the Annual Meeting and entitled to vote</w:t>
            </w:r>
          </w:p>
          <w:p>
            <w:pPr>
              <w:pStyle w:val="TableContents"/>
              <w:bidi w:val="0"/>
              <w:spacing w:before="0" w:after="20"/>
              <w:jc w:val="left"/>
              <w:rPr/>
            </w:pPr>
            <w:r>
              <w:rPr/>
              <w:t> </w:t>
            </w:r>
          </w:p>
        </w:tc>
      </w:tr>
    </w:tbl>
    <w:p>
      <w:pPr>
        <w:pStyle w:val="TextBody"/>
        <w:bidi w:val="0"/>
        <w:spacing w:before="240" w:after="0"/>
        <w:jc w:val="left"/>
        <w:rPr>
          <w:rFonts w:ascii="arial" w:hAnsi="arial"/>
          <w:b/>
          <w:color w:val="1F295C"/>
          <w:sz w:val="24"/>
        </w:rPr>
      </w:pPr>
      <w:bookmarkStart w:id="125" w:name="toc849638_98"/>
      <w:bookmarkEnd w:id="125"/>
      <w:r>
        <w:rPr>
          <w:rFonts w:ascii="arial" w:hAnsi="arial"/>
          <w:b/>
          <w:color w:val="1F295C"/>
          <w:sz w:val="24"/>
        </w:rPr>
        <w:t xml:space="preserve">Voting Results </w:t>
      </w:r>
    </w:p>
    <w:p>
      <w:pPr>
        <w:pStyle w:val="TextBody"/>
        <w:bidi w:val="0"/>
        <w:spacing w:before="240" w:after="0"/>
        <w:jc w:val="left"/>
        <w:rPr>
          <w:rFonts w:ascii="arial" w:hAnsi="arial"/>
          <w:sz w:val="20"/>
        </w:rPr>
      </w:pPr>
      <w:r>
        <w:rPr>
          <w:rFonts w:ascii="arial" w:hAnsi="arial"/>
          <w:sz w:val="20"/>
        </w:rPr>
        <w:t xml:space="preserve">Preliminary voting results will be announced at the Annual Meeting. Final voting results will be published in a current report on Form 8-K to be filed with the SEC within four business days after the Annual Meeting. If final voting results are not available at that time, we will provide preliminary voting results in the Form 8-K and will provide the final voting results in an amendment to the Form 8-K as soon as they are available.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Meeting and Voting Information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1070B8"/>
          <w:sz w:val="44"/>
        </w:rPr>
      </w:pPr>
      <w:bookmarkStart w:id="126" w:name="toc849638_99"/>
      <w:bookmarkEnd w:id="126"/>
      <w:r>
        <w:rPr>
          <w:rFonts w:ascii="Times New Roman" w:hAnsi="Times New Roman"/>
          <w:b/>
          <w:color w:val="1070B8"/>
          <w:sz w:val="44"/>
        </w:rPr>
        <w:t xml:space="preserve">OTHER MATTERS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sz w:val="20"/>
        </w:rPr>
        <w:t xml:space="preserve">We are not aware of any other matters that will be presented for consideration at the Annual Meeting. If any other matters are properly brought before the meeting, the persons named as proxies will vote on such matters in accordance with their best judgment. </w:t>
      </w:r>
    </w:p>
    <w:p>
      <w:pPr>
        <w:pStyle w:val="TextBody"/>
        <w:bidi w:val="0"/>
        <w:spacing w:before="0" w:after="0"/>
        <w:jc w:val="left"/>
        <w:rPr/>
      </w:pPr>
      <w:r>
        <w:rPr/>
        <w:t> </w:t>
      </w:r>
    </w:p>
    <w:p>
      <w:pPr>
        <w:pStyle w:val="TextBody"/>
        <w:pBdr>
          <w:bottom w:val="single" w:sz="2" w:space="1" w:color="1070B8"/>
        </w:pBdr>
        <w:bidi w:val="0"/>
        <w:spacing w:lineRule="atLeast" w:line="142" w:before="0" w:after="40"/>
        <w:jc w:val="left"/>
        <w:rPr/>
      </w:pPr>
      <w:r>
        <w:rPr/>
        <w:t> </w:t>
      </w:r>
    </w:p>
    <w:p>
      <w:pPr>
        <w:pStyle w:val="TextBody"/>
        <w:bidi w:val="0"/>
        <w:spacing w:before="0" w:after="0"/>
        <w:jc w:val="center"/>
        <w:rPr>
          <w:rFonts w:ascii="arial" w:hAnsi="arial"/>
          <w:b/>
          <w:color w:val="1070B8"/>
          <w:sz w:val="20"/>
        </w:rPr>
      </w:pPr>
      <w:r>
        <w:rPr>
          <w:rFonts w:ascii="arial" w:hAnsi="arial"/>
          <w:b/>
          <w:color w:val="1070B8"/>
          <w:sz w:val="20"/>
        </w:rPr>
        <w:t xml:space="preserve">IBP 2025 Proxy Statement </w:t>
      </w:r>
    </w:p>
    <w:p>
      <w:pPr>
        <w:pStyle w:val="TextBody"/>
        <w:bidi w:val="0"/>
        <w:spacing w:before="80" w:after="0"/>
        <w:jc w:val="center"/>
        <w:rPr>
          <w:rFonts w:ascii="arial" w:hAnsi="arial"/>
          <w:color w:val="1070B8"/>
          <w:sz w:val="20"/>
        </w:rPr>
      </w:pPr>
      <w:r>
        <w:rPr>
          <w:rFonts w:ascii="arial" w:hAnsi="arial"/>
          <w:color w:val="1070B8"/>
          <w:sz w:val="20"/>
        </w:rPr>
        <w:t xml:space="preserve">Other Matters </w:t>
      </w:r>
    </w:p>
    <w:p>
      <w:pPr>
        <w:pStyle w:val="TextBody"/>
        <w:bidi w:val="0"/>
        <w:spacing w:before="0" w:after="0"/>
        <w:jc w:val="left"/>
        <w:rPr/>
      </w:pPr>
      <w:r>
        <w:rPr/>
        <w:t> </w:t>
      </w:r>
    </w:p>
    <w:p>
      <w:pPr>
        <w:pStyle w:val="TextBody"/>
        <w:bidi w:val="0"/>
        <w:spacing w:before="0" w:after="0"/>
        <w:jc w:val="center"/>
        <w:rPr>
          <w:rFonts w:ascii="arial" w:hAnsi="arial"/>
          <w:color w:val="1070B8"/>
          <w:sz w:val="20"/>
        </w:rPr>
      </w:pPr>
      <w:r>
        <w:rPr>
          <w:rFonts w:ascii="arial" w:hAnsi="arial"/>
          <w:color w:val="1070B8"/>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221220" cy="9309735"/>
            <wp:effectExtent l="0" t="0" r="0" b="0"/>
            <wp:docPr id="9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9" descr=""/>
                    <pic:cNvPicPr>
                      <a:picLocks noChangeAspect="1" noChangeArrowheads="1"/>
                    </pic:cNvPicPr>
                  </pic:nvPicPr>
                  <pic:blipFill>
                    <a:blip r:embed="rId90"/>
                    <a:stretch>
                      <a:fillRect/>
                    </a:stretch>
                  </pic:blipFill>
                  <pic:spPr bwMode="auto">
                    <a:xfrm>
                      <a:off x="0" y="0"/>
                      <a:ext cx="7221220" cy="9309735"/>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08495" cy="9309735"/>
            <wp:effectExtent l="0" t="0" r="0" b="0"/>
            <wp:docPr id="9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0" descr=""/>
                    <pic:cNvPicPr>
                      <a:picLocks noChangeAspect="1" noChangeArrowheads="1"/>
                    </pic:cNvPicPr>
                  </pic:nvPicPr>
                  <pic:blipFill>
                    <a:blip r:embed="rId91"/>
                    <a:stretch>
                      <a:fillRect/>
                    </a:stretch>
                  </pic:blipFill>
                  <pic:spPr bwMode="auto">
                    <a:xfrm>
                      <a:off x="0" y="0"/>
                      <a:ext cx="7008495" cy="9309735"/>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7172960" cy="9309735"/>
            <wp:effectExtent l="0" t="0" r="0" b="0"/>
            <wp:docPr id="9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1" descr=""/>
                    <pic:cNvPicPr>
                      <a:picLocks noChangeAspect="1" noChangeArrowheads="1"/>
                    </pic:cNvPicPr>
                  </pic:nvPicPr>
                  <pic:blipFill>
                    <a:blip r:embed="rId92"/>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043N9B Your vote matters – here’s how to vote! You may vote online or by phone instead of mailing this card. Online Go to www.envisionreports.com/IBP or scan the QR code — login details are located in the shaded bar below. Phone Call toll free 1-800-652-VOTE (8683) within the USA, US territories and Canada Save paper, time and money! Sign up for electronic delivery at www.envisionreports.com/IBP Using a black ink pen, mark your votes with an X as shown in this example. Please do not write outside the designated areas. 2025 Annual Meeting Proxy Card q IF VOTING BY MAIL, SIGN, DETACH AND RETURN THE BOTTOM PORTION IN THE ENCLOSED ENVELOPE. Proposals — The Board of Directors recommend a vote FOR all the nominees listed and FOR Proposals 2 and 3. 1. Election of Directors to serve for three-year terms: For Against Abstain 01 - Jeffrey W. Edwards 02 - Lawrence A. Hilsheimer 03 - Janet E. Jackson 2. Ratification of the appointment of Deloitte &amp; Touche LLP as our independent registered public accounting firm for 2025. 3. Approval, on an advisory basis, of the compensation of our named executive officers. For Against Abstain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1 UPX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7172960" cy="9309735"/>
            <wp:effectExtent l="0" t="0" r="0" b="0"/>
            <wp:docPr id="9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2" descr=""/>
                    <pic:cNvPicPr>
                      <a:picLocks noChangeAspect="1" noChangeArrowheads="1"/>
                    </pic:cNvPicPr>
                  </pic:nvPicPr>
                  <pic:blipFill>
                    <a:blip r:embed="rId93"/>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The 2025 Annual Meeting of Stockholders of Installed Building Products, Inc. will be held on Tuesday, May 20, 2025 at 10:00 a.m. Eastern Time. The Annual Meeting will be conducted virtually by a live audio webcast at https://meetnow.global/M4CN4WG To access the virtual meeting, vote your shares or submit questions during the virtual meeting, you must have the information that is printed in the shaded bar located on the reverse side of this form. Important notice regarding the Internet availability of proxy materials for the Annual Meeting of Stockholders. The material is available at: www.envisionreports.com/IBP Small steps make an impact. Help the environment by consenting to receive electronic delivery, sign up at www.envisionreports.com/IBP IF VOTING BY MAIL, SIGN, DETACH AND RETURN THE BOTTOM PORTION IN THE ENCLOSED ENVELOPE. Proxy — Installed Building Products, Inc. Notice of 2025 Annual Meeting of Stockholders Proxy Solicited by Board of Directors Jeffrey W. Edwards and Michael T. Miller, or either of them, each with the power of substitution, are hereby authorized to represent and vote the shares of the undersigned, with all the powers which the undersigned would possess if personally present, at the Annual Meeting of Stockholders of Installed Building Products, Inc. to be held on May 20, 2025 or at any postponement or adjournment thereof. This proxy, when properly executed, will be voted in the manner directed herein by the stockholder. If no direction is made, this proxy will be voted: • FOR the election of Jeffrey W. Edwards, Lawrence A. Hilsheimer and Janet E. Jackson as directors to serve for three-year terms; • FOR the ratification of the appointment of Deloitte &amp; Touche LLP as our independent registered public accounting firm for 2025; • FOR the approval, on an advisory basis, of the compensation of our named executive officers. In their discretion, the Proxies are authorized to vote upon such other business as may properly come before the meeting. (Items to be voted appear on reverse side) Non-Voting Items Change of Address — Please print new address below. Comments — Please print your comments below.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9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3" descr=""/>
                    <pic:cNvPicPr>
                      <a:picLocks noChangeAspect="1" noChangeArrowheads="1"/>
                    </pic:cNvPicPr>
                  </pic:nvPicPr>
                  <pic:blipFill>
                    <a:blip r:embed="rId94"/>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Using a black ink pen, mark your votes with an X as shown in this example. Please do not write outside the designated areas. 2025 Annual Meeting Proxy Card IF VOTING BY MAIL, SIGN, DETACH AND RETURN THE BOTTOM PORTION IN THE ENCLOSED ENVELOPE. Proposals — The Board of Directors recommend a vote FOR all the nominees listed and FOR Proposals 2 and 3. 1. Election of Directors to serve for three-year terms: 01 - Jeffrey W. Edwards 02 - Lawrence A. Hilsheimer 03 - Janet E. Jackson 2. Ratification of the appointment of Deloitte &amp; Touche LLP as our independent registered public accounting firm for 2025. 3. Approval, on an advisory basis, of the compensation of our named executive officers. For Against Abstain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1 UPX 043NAB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9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4" descr=""/>
                    <pic:cNvPicPr>
                      <a:picLocks noChangeAspect="1" noChangeArrowheads="1"/>
                    </pic:cNvPicPr>
                  </pic:nvPicPr>
                  <pic:blipFill>
                    <a:blip r:embed="rId95"/>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The 2025 Annual Meeting of Stockholders of Installed Building Products, Inc. will be held on Tuesday, May 20, 2025 at 10:00 a.m. Eastern Time. The Annual Meeting will be conducted virtually by a live audio webcast at https://meetnow.global/M4CN4WG To access the virtual meeting, please refer to the “Meeting and Voting Information” section of the proxy statement. Important notice regarding the Internet availability of proxy materials for the Annual Meeting of Stockholders. The material is available at: www.edocumentview.com/IBP IF VOTING BY MAIL, SIGN, DETACH AND RETURN THE BOTTOM PORTION IN THE ENCLOSED ENVELOPE. 1 UPX Proxy — Installed Building Products, Inc. Notice of 2025 Annual Meeting of Stockholders Proxy Solicited by Board of Directors Jeffrey W. Edwards and Michael T. Miller, or either of them, each with the power of substitution, are hereby authorized to represent and vote the shares of the undersigned, with all the powers which the undersigned would possess if personally present, at the Annual Meeting of Stockholders of Installed Building Products, Inc. to be held on May 20, 2025 or at any postponement or adjournment thereof. This proxy, when properly executed, will be voted in the manner directed herein by the stockholder. If no direction is made, this proxy will be voted: • FOR the election of Jeffrey W. Edwards, Lawrence A. Hilsheimer and Janet E. Jackson as directors to serve for three-year terms; • FOR the ratification of the appointment of Deloitte &amp; Touche LLP as our independent registered public accounting firm for 2025; • FOR the approval, on an advisory basis, of the compensation of our named executive officers. In their discretion, the Proxies are authorized to vote upon such other business as may properly come before the meeting. (Items to be voted appear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rial">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19.jpeg"/><Relationship Id="rId22" Type="http://schemas.openxmlformats.org/officeDocument/2006/relationships/image" Target="media/image19.jpeg"/><Relationship Id="rId23" Type="http://schemas.openxmlformats.org/officeDocument/2006/relationships/image" Target="media/image19.jpeg"/><Relationship Id="rId24" Type="http://schemas.openxmlformats.org/officeDocument/2006/relationships/image" Target="media/image19.jpeg"/><Relationship Id="rId25" Type="http://schemas.openxmlformats.org/officeDocument/2006/relationships/image" Target="media/image19.jpeg"/><Relationship Id="rId26" Type="http://schemas.openxmlformats.org/officeDocument/2006/relationships/image" Target="media/image19.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0.jpeg"/><Relationship Id="rId30" Type="http://schemas.openxmlformats.org/officeDocument/2006/relationships/image" Target="media/image20.jpeg"/><Relationship Id="rId31" Type="http://schemas.openxmlformats.org/officeDocument/2006/relationships/image" Target="media/image20.jpeg"/><Relationship Id="rId32" Type="http://schemas.openxmlformats.org/officeDocument/2006/relationships/image" Target="media/image20.jpeg"/><Relationship Id="rId33" Type="http://schemas.openxmlformats.org/officeDocument/2006/relationships/image" Target="media/image20.jpeg"/><Relationship Id="rId34" Type="http://schemas.openxmlformats.org/officeDocument/2006/relationships/image" Target="media/image20.jpe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image" Target="media/image22.jpeg"/><Relationship Id="rId38" Type="http://schemas.openxmlformats.org/officeDocument/2006/relationships/image" Target="media/image23.jpeg"/><Relationship Id="rId39" Type="http://schemas.openxmlformats.org/officeDocument/2006/relationships/image" Target="media/image24.jpeg"/><Relationship Id="rId40" Type="http://schemas.openxmlformats.org/officeDocument/2006/relationships/image" Target="media/image25.jpeg"/><Relationship Id="rId41" Type="http://schemas.openxmlformats.org/officeDocument/2006/relationships/image" Target="media/image26.jpeg"/><Relationship Id="rId42" Type="http://schemas.openxmlformats.org/officeDocument/2006/relationships/image" Target="media/image27.jpeg"/><Relationship Id="rId43" Type="http://schemas.openxmlformats.org/officeDocument/2006/relationships/image" Target="media/image28.jpeg"/><Relationship Id="rId44" Type="http://schemas.openxmlformats.org/officeDocument/2006/relationships/image" Target="media/image29.jpeg"/><Relationship Id="rId45" Type="http://schemas.openxmlformats.org/officeDocument/2006/relationships/image" Target="media/image30.jpeg"/><Relationship Id="rId46" Type="http://schemas.openxmlformats.org/officeDocument/2006/relationships/image" Target="media/image31.jpeg"/><Relationship Id="rId47" Type="http://schemas.openxmlformats.org/officeDocument/2006/relationships/image" Target="media/image32.jpeg"/><Relationship Id="rId48" Type="http://schemas.openxmlformats.org/officeDocument/2006/relationships/image" Target="media/image33.jpeg"/><Relationship Id="rId49" Type="http://schemas.openxmlformats.org/officeDocument/2006/relationships/image" Target="media/image34.jpeg"/><Relationship Id="rId50" Type="http://schemas.openxmlformats.org/officeDocument/2006/relationships/image" Target="media/image35.jpeg"/><Relationship Id="rId51" Type="http://schemas.openxmlformats.org/officeDocument/2006/relationships/image" Target="media/image36.jpeg"/><Relationship Id="rId52" Type="http://schemas.openxmlformats.org/officeDocument/2006/relationships/image" Target="media/image37.jpeg"/><Relationship Id="rId53" Type="http://schemas.openxmlformats.org/officeDocument/2006/relationships/image" Target="media/image38.jpeg"/><Relationship Id="rId54" Type="http://schemas.openxmlformats.org/officeDocument/2006/relationships/image" Target="media/image39.jpeg"/><Relationship Id="rId55" Type="http://schemas.openxmlformats.org/officeDocument/2006/relationships/image" Target="media/image40.jpeg"/><Relationship Id="rId56" Type="http://schemas.openxmlformats.org/officeDocument/2006/relationships/image" Target="media/image41.jpeg"/><Relationship Id="rId57" Type="http://schemas.openxmlformats.org/officeDocument/2006/relationships/image" Target="media/image42.jpeg"/><Relationship Id="rId58" Type="http://schemas.openxmlformats.org/officeDocument/2006/relationships/image" Target="media/image43.jpeg"/><Relationship Id="rId59" Type="http://schemas.openxmlformats.org/officeDocument/2006/relationships/image" Target="media/image44.jpeg"/><Relationship Id="rId60" Type="http://schemas.openxmlformats.org/officeDocument/2006/relationships/image" Target="media/image45.jpeg"/><Relationship Id="rId61" Type="http://schemas.openxmlformats.org/officeDocument/2006/relationships/image" Target="media/image46.jpeg"/><Relationship Id="rId62" Type="http://schemas.openxmlformats.org/officeDocument/2006/relationships/image" Target="media/image47.jpeg"/><Relationship Id="rId63" Type="http://schemas.openxmlformats.org/officeDocument/2006/relationships/image" Target="media/image48.jpeg"/><Relationship Id="rId64" Type="http://schemas.openxmlformats.org/officeDocument/2006/relationships/image" Target="media/image49.jpeg"/><Relationship Id="rId65" Type="http://schemas.openxmlformats.org/officeDocument/2006/relationships/image" Target="media/image50.jpeg"/><Relationship Id="rId66" Type="http://schemas.openxmlformats.org/officeDocument/2006/relationships/image" Target="media/image51.jpeg"/><Relationship Id="rId67" Type="http://schemas.openxmlformats.org/officeDocument/2006/relationships/image" Target="media/image52.jpeg"/><Relationship Id="rId68" Type="http://schemas.openxmlformats.org/officeDocument/2006/relationships/image" Target="media/image41.jpeg"/><Relationship Id="rId69" Type="http://schemas.openxmlformats.org/officeDocument/2006/relationships/image" Target="media/image41.jpeg"/><Relationship Id="rId70" Type="http://schemas.openxmlformats.org/officeDocument/2006/relationships/image" Target="media/image9.jpeg"/><Relationship Id="rId71" Type="http://schemas.openxmlformats.org/officeDocument/2006/relationships/image" Target="media/image10.jpeg"/><Relationship Id="rId72" Type="http://schemas.openxmlformats.org/officeDocument/2006/relationships/image" Target="media/image11.jpeg"/><Relationship Id="rId73" Type="http://schemas.openxmlformats.org/officeDocument/2006/relationships/image" Target="media/image12.jpeg"/><Relationship Id="rId74" Type="http://schemas.openxmlformats.org/officeDocument/2006/relationships/image" Target="media/image53.jpeg"/><Relationship Id="rId75" Type="http://schemas.openxmlformats.org/officeDocument/2006/relationships/image" Target="media/image14.jpeg"/><Relationship Id="rId76" Type="http://schemas.openxmlformats.org/officeDocument/2006/relationships/image" Target="media/image15.jpeg"/><Relationship Id="rId77" Type="http://schemas.openxmlformats.org/officeDocument/2006/relationships/image" Target="media/image54.jpeg"/><Relationship Id="rId78" Type="http://schemas.openxmlformats.org/officeDocument/2006/relationships/image" Target="media/image55.jpeg"/><Relationship Id="rId79" Type="http://schemas.openxmlformats.org/officeDocument/2006/relationships/image" Target="media/image56.jpeg"/><Relationship Id="rId80" Type="http://schemas.openxmlformats.org/officeDocument/2006/relationships/image" Target="media/image57.jpeg"/><Relationship Id="rId81" Type="http://schemas.openxmlformats.org/officeDocument/2006/relationships/image" Target="media/image58.jpeg"/><Relationship Id="rId82" Type="http://schemas.openxmlformats.org/officeDocument/2006/relationships/image" Target="media/image59.jpeg"/><Relationship Id="rId83" Type="http://schemas.openxmlformats.org/officeDocument/2006/relationships/image" Target="media/image60.jpeg"/><Relationship Id="rId84" Type="http://schemas.openxmlformats.org/officeDocument/2006/relationships/image" Target="media/image61.jpeg"/><Relationship Id="rId85" Type="http://schemas.openxmlformats.org/officeDocument/2006/relationships/image" Target="media/image62.jpeg"/><Relationship Id="rId86" Type="http://schemas.openxmlformats.org/officeDocument/2006/relationships/image" Target="media/image63.jpeg"/><Relationship Id="rId87" Type="http://schemas.openxmlformats.org/officeDocument/2006/relationships/image" Target="media/image64.jpeg"/><Relationship Id="rId88" Type="http://schemas.openxmlformats.org/officeDocument/2006/relationships/image" Target="media/image65.jpeg"/><Relationship Id="rId89" Type="http://schemas.openxmlformats.org/officeDocument/2006/relationships/image" Target="media/image66.jpeg"/><Relationship Id="rId90" Type="http://schemas.openxmlformats.org/officeDocument/2006/relationships/image" Target="media/image67.jpeg"/><Relationship Id="rId91" Type="http://schemas.openxmlformats.org/officeDocument/2006/relationships/image" Target="media/image68.jpeg"/><Relationship Id="rId92" Type="http://schemas.openxmlformats.org/officeDocument/2006/relationships/image" Target="media/image69.jpeg"/><Relationship Id="rId93" Type="http://schemas.openxmlformats.org/officeDocument/2006/relationships/image" Target="media/image70.jpeg"/><Relationship Id="rId94" Type="http://schemas.openxmlformats.org/officeDocument/2006/relationships/image" Target="media/image71.jpeg"/><Relationship Id="rId95" Type="http://schemas.openxmlformats.org/officeDocument/2006/relationships/image" Target="media/image72.jpeg"/><Relationship Id="rId96" Type="http://schemas.openxmlformats.org/officeDocument/2006/relationships/fontTable" Target="fontTable.xml"/><Relationship Id="rId9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96</Pages>
  <Words>43427</Words>
  <Characters>243929</Characters>
  <CharactersWithSpaces>291018</CharactersWithSpaces>
  <Paragraphs>7916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